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99EA7">
      <w:pPr>
        <w:spacing w:line="360" w:lineRule="auto"/>
        <w:jc w:val="center"/>
        <w:rPr>
          <w:rFonts w:ascii="仿宋_GB2312" w:hAnsi="宋体" w:eastAsia="仿宋_GB2312"/>
          <w:b/>
          <w:bCs/>
          <w:sz w:val="24"/>
        </w:rPr>
      </w:pPr>
      <w:r>
        <w:rPr>
          <w:rFonts w:hint="eastAsia" w:ascii="仿宋_GB2312" w:hAnsi="宋体" w:eastAsia="仿宋_GB2312"/>
          <w:b/>
          <w:bCs/>
          <w:sz w:val="24"/>
          <w:u w:val="single"/>
        </w:rPr>
        <w:t xml:space="preserve">            </w:t>
      </w:r>
      <w:r>
        <w:rPr>
          <w:rFonts w:hint="eastAsia" w:ascii="仿宋_GB2312" w:hAnsi="宋体" w:eastAsia="仿宋_GB2312"/>
          <w:b/>
          <w:bCs/>
          <w:sz w:val="24"/>
        </w:rPr>
        <w:t>项目采购方案（</w:t>
      </w:r>
      <w:r>
        <w:rPr>
          <w:rFonts w:hint="eastAsia" w:ascii="仿宋_GB2312" w:hAnsi="宋体" w:eastAsia="仿宋_GB2312"/>
          <w:b/>
          <w:bCs/>
          <w:sz w:val="24"/>
          <w:lang w:val="en-US" w:eastAsia="zh-CN"/>
        </w:rPr>
        <w:t>工程</w:t>
      </w:r>
      <w:r>
        <w:rPr>
          <w:rFonts w:hint="eastAsia" w:ascii="仿宋_GB2312" w:hAnsi="宋体" w:eastAsia="仿宋_GB2312"/>
          <w:b/>
          <w:bCs/>
          <w:sz w:val="24"/>
        </w:rPr>
        <w:t>类）</w:t>
      </w:r>
    </w:p>
    <w:p w14:paraId="042266A3">
      <w:pPr>
        <w:spacing w:line="360" w:lineRule="auto"/>
        <w:jc w:val="center"/>
        <w:rPr>
          <w:rFonts w:ascii="仿宋_GB2312" w:eastAsia="仿宋_GB2312"/>
          <w:b/>
          <w:bCs/>
          <w:color w:val="FF0000"/>
          <w:sz w:val="28"/>
        </w:rPr>
      </w:pPr>
      <w:r>
        <w:rPr>
          <w:rFonts w:hint="eastAsia" w:ascii="仿宋_GB2312" w:hAnsi="宋体" w:eastAsia="仿宋_GB2312"/>
          <w:b/>
          <w:bCs/>
          <w:color w:val="FF0000"/>
          <w:sz w:val="28"/>
        </w:rPr>
        <w:t>（请在制作正式采购方案时删除本模板中所有红色字样）</w:t>
      </w:r>
    </w:p>
    <w:p w14:paraId="69D8ED89">
      <w:pPr>
        <w:spacing w:line="360" w:lineRule="auto"/>
        <w:jc w:val="left"/>
        <w:rPr>
          <w:rFonts w:ascii="仿宋_GB2312" w:eastAsia="仿宋_GB2312"/>
          <w:b/>
          <w:bCs w:val="0"/>
          <w:sz w:val="24"/>
        </w:rPr>
      </w:pPr>
      <w:r>
        <w:rPr>
          <w:rFonts w:hint="eastAsia" w:ascii="仿宋_GB2312" w:hAnsi="宋体" w:eastAsia="仿宋_GB2312"/>
          <w:b/>
          <w:bCs w:val="0"/>
          <w:sz w:val="24"/>
          <w:lang w:val="en-US" w:eastAsia="zh-CN"/>
        </w:rPr>
        <w:t>一、标的</w:t>
      </w:r>
      <w:r>
        <w:rPr>
          <w:rFonts w:hint="eastAsia" w:ascii="仿宋_GB2312" w:hAnsi="宋体" w:eastAsia="仿宋_GB2312"/>
          <w:b/>
          <w:bCs w:val="0"/>
          <w:sz w:val="24"/>
        </w:rPr>
        <w:t>一览表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1251"/>
        <w:gridCol w:w="4720"/>
        <w:gridCol w:w="2381"/>
      </w:tblGrid>
      <w:tr w14:paraId="466D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13" w:type="pct"/>
            <w:vAlign w:val="center"/>
          </w:tcPr>
          <w:p w14:paraId="0262F9B8">
            <w:pPr>
              <w:spacing w:line="400" w:lineRule="exact"/>
              <w:jc w:val="center"/>
              <w:rPr>
                <w:rFonts w:hint="eastAsia" w:ascii="仿宋_GB2312" w:eastAsia="仿宋_GB2312" w:cs="宋体"/>
                <w:bCs/>
                <w:color w:val="000000"/>
                <w:kern w:val="0"/>
                <w:sz w:val="24"/>
                <w:lang w:eastAsia="zh-CN"/>
              </w:rPr>
            </w:pPr>
            <w:r>
              <w:rPr>
                <w:rFonts w:hint="eastAsia" w:ascii="仿宋_GB2312" w:hAnsi="宋体" w:eastAsia="仿宋_GB2312" w:cs="宋体"/>
                <w:bCs/>
                <w:color w:val="000000"/>
                <w:kern w:val="0"/>
                <w:sz w:val="24"/>
                <w:lang w:eastAsia="zh-CN"/>
              </w:rPr>
              <w:t>采购包</w:t>
            </w:r>
          </w:p>
        </w:tc>
        <w:tc>
          <w:tcPr>
            <w:tcW w:w="642" w:type="pct"/>
            <w:vAlign w:val="center"/>
          </w:tcPr>
          <w:p w14:paraId="0702EC5B">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lang w:val="en-US" w:eastAsia="zh-CN"/>
              </w:rPr>
              <w:t>序</w:t>
            </w:r>
            <w:r>
              <w:rPr>
                <w:rFonts w:hint="eastAsia" w:ascii="仿宋_GB2312" w:hAnsi="宋体" w:eastAsia="仿宋_GB2312" w:cs="宋体"/>
                <w:color w:val="000000"/>
                <w:sz w:val="24"/>
              </w:rPr>
              <w:t>号</w:t>
            </w:r>
          </w:p>
        </w:tc>
        <w:tc>
          <w:tcPr>
            <w:tcW w:w="2423" w:type="pct"/>
            <w:vAlign w:val="center"/>
          </w:tcPr>
          <w:p w14:paraId="41713E5F">
            <w:pPr>
              <w:spacing w:line="400" w:lineRule="exact"/>
              <w:jc w:val="center"/>
              <w:rPr>
                <w:rFonts w:ascii="仿宋_GB2312" w:eastAsia="仿宋_GB2312" w:cs="宋体"/>
                <w:bCs/>
                <w:color w:val="000000"/>
                <w:kern w:val="0"/>
                <w:sz w:val="24"/>
              </w:rPr>
            </w:pPr>
            <w:r>
              <w:rPr>
                <w:rFonts w:hint="eastAsia" w:ascii="仿宋_GB2312" w:hAnsi="宋体" w:eastAsia="仿宋_GB2312" w:cs="宋体"/>
                <w:color w:val="000000"/>
                <w:sz w:val="24"/>
                <w:lang w:val="en-US" w:eastAsia="zh-CN"/>
              </w:rPr>
              <w:t>工程</w:t>
            </w:r>
            <w:r>
              <w:rPr>
                <w:rFonts w:hint="eastAsia" w:ascii="仿宋_GB2312" w:hAnsi="宋体" w:eastAsia="仿宋_GB2312" w:cs="宋体"/>
                <w:color w:val="000000"/>
                <w:sz w:val="24"/>
              </w:rPr>
              <w:t>名称</w:t>
            </w:r>
          </w:p>
        </w:tc>
        <w:tc>
          <w:tcPr>
            <w:tcW w:w="1222" w:type="pct"/>
            <w:vAlign w:val="center"/>
          </w:tcPr>
          <w:p w14:paraId="6ED86F8A">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rPr>
              <w:t>预算金额（元）</w:t>
            </w:r>
          </w:p>
        </w:tc>
      </w:tr>
      <w:tr w14:paraId="6D86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3" w:type="pct"/>
            <w:vMerge w:val="restart"/>
            <w:vAlign w:val="center"/>
          </w:tcPr>
          <w:p w14:paraId="7B5A28A7">
            <w:pPr>
              <w:spacing w:line="400" w:lineRule="exact"/>
              <w:jc w:val="center"/>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p>
        </w:tc>
        <w:tc>
          <w:tcPr>
            <w:tcW w:w="642" w:type="pct"/>
            <w:shd w:val="clear" w:color="auto" w:fill="FFFFFF"/>
            <w:vAlign w:val="center"/>
          </w:tcPr>
          <w:p w14:paraId="234B1923">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1</w:t>
            </w:r>
          </w:p>
        </w:tc>
        <w:tc>
          <w:tcPr>
            <w:tcW w:w="2423" w:type="pct"/>
            <w:shd w:val="clear" w:color="auto" w:fill="FFFFFF"/>
            <w:vAlign w:val="center"/>
          </w:tcPr>
          <w:p w14:paraId="6A313D81">
            <w:pPr>
              <w:widowControl/>
              <w:spacing w:line="400" w:lineRule="exact"/>
              <w:jc w:val="center"/>
              <w:rPr>
                <w:rFonts w:ascii="仿宋_GB2312" w:eastAsia="仿宋_GB2312" w:cs="宋体"/>
                <w:color w:val="000000"/>
                <w:kern w:val="0"/>
                <w:sz w:val="24"/>
              </w:rPr>
            </w:pPr>
          </w:p>
        </w:tc>
        <w:tc>
          <w:tcPr>
            <w:tcW w:w="1222" w:type="pct"/>
            <w:shd w:val="clear" w:color="auto" w:fill="FFFFFF"/>
            <w:vAlign w:val="center"/>
          </w:tcPr>
          <w:p w14:paraId="6F558EF1">
            <w:pPr>
              <w:widowControl/>
              <w:spacing w:line="400" w:lineRule="exact"/>
              <w:jc w:val="center"/>
              <w:rPr>
                <w:rFonts w:ascii="仿宋_GB2312" w:eastAsia="仿宋_GB2312" w:cs="宋体"/>
                <w:b/>
                <w:color w:val="000000"/>
                <w:sz w:val="24"/>
              </w:rPr>
            </w:pPr>
          </w:p>
        </w:tc>
      </w:tr>
      <w:tr w14:paraId="266C7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3" w:type="pct"/>
            <w:vMerge w:val="continue"/>
            <w:vAlign w:val="center"/>
          </w:tcPr>
          <w:p w14:paraId="2D30A1BB">
            <w:pPr>
              <w:spacing w:line="400" w:lineRule="exact"/>
              <w:jc w:val="center"/>
              <w:rPr>
                <w:rFonts w:ascii="仿宋_GB2312" w:eastAsia="仿宋_GB2312" w:cs="宋体"/>
                <w:bCs/>
                <w:color w:val="000000"/>
                <w:kern w:val="0"/>
                <w:sz w:val="24"/>
              </w:rPr>
            </w:pPr>
          </w:p>
        </w:tc>
        <w:tc>
          <w:tcPr>
            <w:tcW w:w="642" w:type="pct"/>
            <w:shd w:val="clear" w:color="auto" w:fill="FFFFFF"/>
            <w:vAlign w:val="center"/>
          </w:tcPr>
          <w:p w14:paraId="09189AFC">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2</w:t>
            </w:r>
          </w:p>
        </w:tc>
        <w:tc>
          <w:tcPr>
            <w:tcW w:w="2423" w:type="pct"/>
            <w:shd w:val="clear" w:color="auto" w:fill="FFFFFF"/>
            <w:vAlign w:val="center"/>
          </w:tcPr>
          <w:p w14:paraId="2AA20AEE">
            <w:pPr>
              <w:spacing w:line="400" w:lineRule="exact"/>
              <w:jc w:val="center"/>
              <w:rPr>
                <w:rFonts w:ascii="仿宋_GB2312" w:eastAsia="仿宋_GB2312" w:cs="宋体"/>
                <w:color w:val="000000"/>
                <w:sz w:val="24"/>
              </w:rPr>
            </w:pPr>
          </w:p>
        </w:tc>
        <w:tc>
          <w:tcPr>
            <w:tcW w:w="1222" w:type="pct"/>
            <w:shd w:val="clear" w:color="auto" w:fill="FFFFFF"/>
            <w:vAlign w:val="center"/>
          </w:tcPr>
          <w:p w14:paraId="3AB6D925">
            <w:pPr>
              <w:widowControl/>
              <w:spacing w:line="400" w:lineRule="exact"/>
              <w:jc w:val="center"/>
              <w:rPr>
                <w:rFonts w:ascii="仿宋_GB2312" w:eastAsia="仿宋_GB2312" w:cs="宋体"/>
                <w:b/>
                <w:color w:val="000000"/>
                <w:sz w:val="24"/>
              </w:rPr>
            </w:pPr>
          </w:p>
        </w:tc>
      </w:tr>
      <w:tr w14:paraId="05B3C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13" w:type="pct"/>
            <w:vMerge w:val="continue"/>
            <w:vAlign w:val="center"/>
          </w:tcPr>
          <w:p w14:paraId="367DAACB">
            <w:pPr>
              <w:spacing w:line="400" w:lineRule="exact"/>
              <w:jc w:val="center"/>
              <w:rPr>
                <w:rFonts w:ascii="仿宋_GB2312" w:eastAsia="仿宋_GB2312" w:cs="宋体"/>
                <w:bCs/>
                <w:color w:val="000000"/>
                <w:kern w:val="0"/>
                <w:sz w:val="24"/>
              </w:rPr>
            </w:pPr>
          </w:p>
        </w:tc>
        <w:tc>
          <w:tcPr>
            <w:tcW w:w="642" w:type="pct"/>
            <w:shd w:val="clear" w:color="auto" w:fill="FFFFFF"/>
            <w:vAlign w:val="center"/>
          </w:tcPr>
          <w:p w14:paraId="0F181A08">
            <w:pPr>
              <w:widowControl/>
              <w:jc w:val="center"/>
              <w:rPr>
                <w:rFonts w:ascii="仿宋_GB2312" w:eastAsia="仿宋_GB2312" w:cs="宋体"/>
                <w:color w:val="000000"/>
                <w:sz w:val="24"/>
              </w:rPr>
            </w:pPr>
            <w:r>
              <w:rPr>
                <w:rFonts w:hint="eastAsia" w:ascii="仿宋_GB2312" w:eastAsia="仿宋_GB2312" w:cs="宋体"/>
                <w:color w:val="000000"/>
                <w:kern w:val="0"/>
                <w:sz w:val="24"/>
              </w:rPr>
              <w:t>…</w:t>
            </w:r>
          </w:p>
        </w:tc>
        <w:tc>
          <w:tcPr>
            <w:tcW w:w="2423" w:type="pct"/>
            <w:shd w:val="clear" w:color="auto" w:fill="FFFFFF"/>
            <w:vAlign w:val="center"/>
          </w:tcPr>
          <w:p w14:paraId="649FF7C8">
            <w:pPr>
              <w:widowControl/>
              <w:spacing w:line="400" w:lineRule="exact"/>
              <w:jc w:val="center"/>
              <w:rPr>
                <w:rFonts w:ascii="仿宋_GB2312" w:eastAsia="仿宋_GB2312" w:cs="宋体"/>
                <w:color w:val="000000"/>
                <w:sz w:val="24"/>
              </w:rPr>
            </w:pPr>
          </w:p>
        </w:tc>
        <w:tc>
          <w:tcPr>
            <w:tcW w:w="1222" w:type="pct"/>
            <w:shd w:val="clear" w:color="auto" w:fill="FFFFFF"/>
            <w:vAlign w:val="center"/>
          </w:tcPr>
          <w:p w14:paraId="55C45B49">
            <w:pPr>
              <w:widowControl/>
              <w:spacing w:line="400" w:lineRule="exact"/>
              <w:jc w:val="center"/>
              <w:rPr>
                <w:rFonts w:ascii="仿宋_GB2312" w:eastAsia="仿宋_GB2312" w:cs="宋体"/>
                <w:b/>
                <w:color w:val="000000"/>
                <w:sz w:val="24"/>
              </w:rPr>
            </w:pPr>
          </w:p>
        </w:tc>
      </w:tr>
    </w:tbl>
    <w:p w14:paraId="4B1CFB2A">
      <w:pPr>
        <w:spacing w:line="360" w:lineRule="auto"/>
        <w:jc w:val="left"/>
        <w:rPr>
          <w:rFonts w:ascii="仿宋_GB2312" w:hAnsi="宋体" w:eastAsia="仿宋_GB2312"/>
          <w:bCs/>
          <w:sz w:val="24"/>
        </w:rPr>
      </w:pPr>
      <w:r>
        <w:rPr>
          <w:rFonts w:hint="eastAsia" w:ascii="仿宋_GB2312" w:hAnsi="宋体" w:eastAsia="仿宋_GB2312"/>
          <w:b/>
          <w:bCs w:val="0"/>
          <w:sz w:val="24"/>
          <w:lang w:val="en-US" w:eastAsia="zh-CN"/>
        </w:rPr>
        <w:t>二、</w:t>
      </w:r>
      <w:r>
        <w:rPr>
          <w:rFonts w:hint="eastAsia" w:ascii="仿宋_GB2312" w:hAnsi="宋体" w:eastAsia="仿宋_GB2312"/>
          <w:b/>
          <w:bCs w:val="0"/>
          <w:sz w:val="24"/>
        </w:rPr>
        <w:t>资格要求</w:t>
      </w:r>
    </w:p>
    <w:p w14:paraId="04D9578A">
      <w:pPr>
        <w:spacing w:line="360" w:lineRule="auto"/>
        <w:ind w:firstLine="480" w:firstLineChars="200"/>
        <w:jc w:val="left"/>
        <w:rPr>
          <w:rFonts w:ascii="仿宋" w:hAnsi="仿宋" w:eastAsia="仿宋"/>
          <w:bCs/>
          <w:sz w:val="24"/>
        </w:rPr>
      </w:pPr>
      <w:r>
        <w:rPr>
          <w:rFonts w:hint="eastAsia" w:ascii="仿宋" w:hAnsi="仿宋" w:eastAsia="仿宋"/>
          <w:bCs/>
          <w:sz w:val="24"/>
          <w:lang w:val="en-US" w:eastAsia="zh-CN"/>
        </w:rPr>
        <w:t>1.</w:t>
      </w:r>
      <w:r>
        <w:rPr>
          <w:rFonts w:hint="eastAsia" w:ascii="仿宋" w:hAnsi="仿宋" w:eastAsia="仿宋"/>
          <w:bCs/>
          <w:sz w:val="24"/>
        </w:rPr>
        <w:t>《中华人民共和国政府采购法》第二十二条规定的供应商参加政府采购活动应当具备条件。</w:t>
      </w:r>
    </w:p>
    <w:p w14:paraId="03023982">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lang w:val="en-US" w:eastAsia="zh-CN"/>
        </w:rPr>
        <w:t>2.</w:t>
      </w:r>
      <w:r>
        <w:rPr>
          <w:rFonts w:hint="eastAsia" w:ascii="仿宋" w:hAnsi="仿宋" w:eastAsia="仿宋"/>
          <w:bCs/>
          <w:sz w:val="24"/>
          <w:lang w:eastAsia="zh-CN"/>
        </w:rPr>
        <w:t>采购包</w:t>
      </w:r>
      <w:r>
        <w:rPr>
          <w:rFonts w:hint="eastAsia" w:ascii="仿宋" w:hAnsi="仿宋" w:eastAsia="仿宋"/>
          <w:bCs/>
          <w:sz w:val="24"/>
        </w:rPr>
        <w:t>___:□</w:t>
      </w:r>
      <w:r>
        <w:rPr>
          <w:rFonts w:hint="eastAsia" w:ascii="仿宋_GB2312" w:hAnsi="宋体" w:eastAsia="仿宋_GB2312"/>
          <w:bCs/>
          <w:sz w:val="24"/>
        </w:rPr>
        <w:t>专门面向中小企业</w:t>
      </w:r>
      <w:r>
        <w:rPr>
          <w:rFonts w:hint="eastAsia" w:ascii="仿宋_GB2312" w:hAnsi="宋体" w:eastAsia="仿宋_GB2312"/>
          <w:bCs/>
          <w:color w:val="FF0000"/>
          <w:sz w:val="24"/>
        </w:rPr>
        <w:t>（若本</w:t>
      </w:r>
      <w:r>
        <w:rPr>
          <w:rFonts w:hint="eastAsia" w:ascii="仿宋_GB2312" w:hAnsi="宋体" w:eastAsia="仿宋_GB2312"/>
          <w:bCs/>
          <w:color w:val="FF0000"/>
          <w:sz w:val="24"/>
          <w:lang w:eastAsia="zh-CN"/>
        </w:rPr>
        <w:t>采购包</w:t>
      </w:r>
      <w:r>
        <w:rPr>
          <w:rFonts w:hint="eastAsia" w:ascii="仿宋_GB2312" w:hAnsi="宋体" w:eastAsia="仿宋_GB2312"/>
          <w:bCs/>
          <w:color w:val="FF0000"/>
          <w:sz w:val="24"/>
        </w:rPr>
        <w:t>专门面向中小企业，请在前面方框中打“</w:t>
      </w:r>
      <w:r>
        <w:rPr>
          <w:rFonts w:hint="eastAsia" w:ascii="仿宋" w:hAnsi="仿宋" w:eastAsia="仿宋"/>
          <w:bCs/>
          <w:color w:val="FF0000"/>
          <w:sz w:val="24"/>
        </w:rPr>
        <w:t>√</w:t>
      </w:r>
      <w:r>
        <w:rPr>
          <w:rFonts w:hint="eastAsia" w:ascii="仿宋_GB2312" w:hAnsi="宋体" w:eastAsia="仿宋_GB2312"/>
          <w:bCs/>
          <w:color w:val="FF0000"/>
          <w:sz w:val="24"/>
        </w:rPr>
        <w:t>”）</w:t>
      </w:r>
    </w:p>
    <w:p w14:paraId="2154A271">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以此类推其他</w:t>
      </w:r>
      <w:r>
        <w:rPr>
          <w:rFonts w:hint="eastAsia" w:ascii="仿宋_GB2312" w:hAnsi="宋体" w:eastAsia="仿宋_GB2312"/>
          <w:bCs/>
          <w:color w:val="FF0000"/>
          <w:sz w:val="24"/>
          <w:lang w:eastAsia="zh-CN"/>
        </w:rPr>
        <w:t>采购包</w:t>
      </w:r>
      <w:r>
        <w:rPr>
          <w:rFonts w:hint="eastAsia" w:ascii="仿宋_GB2312" w:hAnsi="宋体" w:eastAsia="仿宋_GB2312"/>
          <w:bCs/>
          <w:color w:val="FF0000"/>
          <w:sz w:val="24"/>
        </w:rPr>
        <w:t>。</w:t>
      </w:r>
    </w:p>
    <w:p w14:paraId="05B76C53">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 xml:space="preserve">注：根据《政府采购促进中小企业发展管理办法》（财库〔2020〕46号）的第六条、第七条和第八条要求，200万元以下的货物和服务项目，适宜面向中小企业应当专门面向中小企业采购。200万元以上的货物和服务项目，应至少预留预留该部分采购项目预算总额的 </w:t>
      </w:r>
      <w:r>
        <w:rPr>
          <w:rFonts w:ascii="仿宋_GB2312" w:hAnsi="宋体" w:eastAsia="仿宋_GB2312"/>
          <w:bCs/>
          <w:color w:val="FF0000"/>
          <w:sz w:val="24"/>
        </w:rPr>
        <w:t>4</w:t>
      </w:r>
      <w:r>
        <w:rPr>
          <w:rFonts w:hint="eastAsia" w:ascii="仿宋_GB2312" w:hAnsi="宋体" w:eastAsia="仿宋_GB2312"/>
          <w:bCs/>
          <w:color w:val="FF0000"/>
          <w:sz w:val="24"/>
        </w:rPr>
        <w:t>0%以上专门面向中小企业采购，其中预留给小微企业的比例不低于 60%。</w:t>
      </w:r>
    </w:p>
    <w:p w14:paraId="60B50F6A">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中小企业的定义详见本办法第四条规定。若不能专门面向中小企业的，应根据《政府采购促进中小企业发展管理办法》（财库〔2020〕46号）第六条“可不专门面向中小企业预留采购份额的适用情形”编制说明函提交至我中心。</w:t>
      </w:r>
    </w:p>
    <w:p w14:paraId="4E924315">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lang w:val="en-US" w:eastAsia="zh-CN"/>
        </w:rPr>
        <w:t>3.</w:t>
      </w:r>
      <w:r>
        <w:rPr>
          <w:rFonts w:hint="eastAsia" w:ascii="仿宋_GB2312" w:hAnsi="宋体" w:eastAsia="仿宋_GB2312"/>
          <w:bCs/>
          <w:color w:val="000000" w:themeColor="text1"/>
          <w:sz w:val="24"/>
        </w:rPr>
        <w:t>特殊资格要求：</w:t>
      </w:r>
      <w:r>
        <w:rPr>
          <w:rFonts w:hint="eastAsia" w:ascii="仿宋_GB2312" w:hAnsi="宋体" w:eastAsia="仿宋_GB2312"/>
          <w:bCs/>
          <w:color w:val="FF0000"/>
          <w:sz w:val="24"/>
        </w:rPr>
        <w:t>（此项要求填写的内容必须是国家强制准入资格类的要求或者允许分包资格要求，若不是或不要求则填写“无”）。</w:t>
      </w:r>
    </w:p>
    <w:p w14:paraId="6E4257D8">
      <w:pPr>
        <w:spacing w:line="360" w:lineRule="auto"/>
        <w:ind w:firstLine="480" w:firstLineChars="200"/>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lang w:val="en-US" w:eastAsia="zh-CN"/>
        </w:rPr>
        <w:t>4.</w:t>
      </w:r>
      <w:r>
        <w:rPr>
          <w:rFonts w:hint="eastAsia" w:ascii="仿宋_GB2312" w:hAnsi="宋体" w:eastAsia="仿宋_GB2312"/>
          <w:bCs/>
          <w:color w:val="000000" w:themeColor="text1"/>
          <w:sz w:val="24"/>
        </w:rPr>
        <w:t>是否接受联合体：</w:t>
      </w:r>
    </w:p>
    <w:p w14:paraId="14B72D93">
      <w:pPr>
        <w:spacing w:line="360" w:lineRule="auto"/>
        <w:ind w:firstLine="240" w:firstLineChars="100"/>
        <w:jc w:val="left"/>
        <w:rPr>
          <w:rFonts w:ascii="仿宋" w:hAnsi="仿宋" w:eastAsia="仿宋"/>
          <w:bCs/>
          <w:sz w:val="24"/>
        </w:rPr>
      </w:pPr>
      <w:r>
        <w:rPr>
          <w:rFonts w:hint="eastAsia" w:ascii="仿宋" w:hAnsi="仿宋" w:eastAsia="仿宋"/>
          <w:bCs/>
          <w:sz w:val="24"/>
        </w:rPr>
        <w:t>□接受。</w:t>
      </w:r>
    </w:p>
    <w:p w14:paraId="540A5DB2">
      <w:pPr>
        <w:spacing w:line="360" w:lineRule="auto"/>
        <w:ind w:firstLine="480" w:firstLineChars="200"/>
        <w:jc w:val="left"/>
        <w:rPr>
          <w:rFonts w:ascii="仿宋" w:hAnsi="仿宋" w:eastAsia="仿宋"/>
          <w:bCs/>
          <w:sz w:val="24"/>
        </w:rPr>
      </w:pPr>
      <w:r>
        <w:rPr>
          <w:rFonts w:hint="eastAsia" w:ascii="仿宋" w:hAnsi="仿宋" w:eastAsia="仿宋"/>
          <w:bCs/>
          <w:sz w:val="24"/>
        </w:rPr>
        <w:t>①联合体成员（含牵头人）不超过</w:t>
      </w:r>
      <w:r>
        <w:rPr>
          <w:rFonts w:ascii="仿宋" w:hAnsi="仿宋" w:eastAsia="仿宋"/>
          <w:bCs/>
          <w:sz w:val="24"/>
        </w:rPr>
        <w:t>____</w:t>
      </w:r>
      <w:r>
        <w:rPr>
          <w:rFonts w:hint="eastAsia" w:ascii="仿宋" w:hAnsi="仿宋" w:eastAsia="仿宋"/>
          <w:bCs/>
          <w:sz w:val="24"/>
        </w:rPr>
        <w:t xml:space="preserve">家。 </w:t>
      </w:r>
    </w:p>
    <w:p w14:paraId="15BCAD00">
      <w:pPr>
        <w:spacing w:line="360" w:lineRule="auto"/>
        <w:ind w:firstLine="480" w:firstLineChars="200"/>
        <w:jc w:val="left"/>
        <w:rPr>
          <w:rFonts w:ascii="仿宋_GB2312" w:hAnsi="宋体" w:eastAsia="仿宋_GB2312"/>
          <w:bCs/>
          <w:sz w:val="24"/>
        </w:rPr>
      </w:pPr>
      <w:r>
        <w:rPr>
          <w:rFonts w:hint="eastAsia" w:ascii="仿宋" w:hAnsi="仿宋" w:eastAsia="仿宋"/>
          <w:bCs/>
          <w:sz w:val="24"/>
        </w:rPr>
        <w:t>②资质要求_</w:t>
      </w:r>
      <w:r>
        <w:rPr>
          <w:rFonts w:ascii="仿宋" w:hAnsi="仿宋" w:eastAsia="仿宋"/>
          <w:bCs/>
          <w:sz w:val="24"/>
        </w:rPr>
        <w:t>____________________________________</w:t>
      </w:r>
    </w:p>
    <w:p w14:paraId="433F0017">
      <w:pPr>
        <w:spacing w:line="360" w:lineRule="auto"/>
        <w:ind w:firstLine="240" w:firstLineChars="100"/>
        <w:jc w:val="left"/>
        <w:rPr>
          <w:rFonts w:hint="eastAsia" w:ascii="仿宋" w:hAnsi="仿宋" w:eastAsia="仿宋"/>
          <w:bCs/>
          <w:sz w:val="24"/>
        </w:rPr>
      </w:pPr>
      <w:r>
        <w:rPr>
          <w:rFonts w:hint="eastAsia" w:ascii="仿宋" w:hAnsi="仿宋" w:eastAsia="仿宋"/>
          <w:bCs/>
          <w:sz w:val="24"/>
        </w:rPr>
        <w:t>□不接受。</w:t>
      </w:r>
    </w:p>
    <w:p w14:paraId="7F36C3D1">
      <w:pPr>
        <w:numPr>
          <w:ilvl w:val="0"/>
          <w:numId w:val="0"/>
        </w:numPr>
        <w:spacing w:line="360" w:lineRule="auto"/>
        <w:jc w:val="left"/>
        <w:rPr>
          <w:rFonts w:hint="eastAsia" w:ascii="仿宋" w:hAnsi="仿宋" w:eastAsia="仿宋"/>
          <w:bCs/>
          <w:color w:val="FF0000"/>
          <w:sz w:val="24"/>
          <w:lang w:val="en-US" w:eastAsia="zh-CN"/>
        </w:rPr>
      </w:pPr>
      <w:r>
        <w:rPr>
          <w:rFonts w:hint="eastAsia" w:ascii="仿宋" w:hAnsi="仿宋" w:eastAsia="仿宋"/>
          <w:b/>
          <w:bCs w:val="0"/>
          <w:sz w:val="24"/>
          <w:lang w:val="en-US" w:eastAsia="zh-CN"/>
        </w:rPr>
        <w:t>三、项目概况</w:t>
      </w:r>
    </w:p>
    <w:p w14:paraId="32D2CA80">
      <w:pPr>
        <w:widowControl/>
        <w:spacing w:line="400" w:lineRule="exact"/>
        <w:jc w:val="left"/>
        <w:rPr>
          <w:rFonts w:hint="eastAsia" w:ascii="仿宋_GB2312" w:eastAsia="仿宋_GB2312"/>
          <w:sz w:val="24"/>
        </w:rPr>
      </w:pPr>
      <w:r>
        <w:rPr>
          <w:rFonts w:hint="eastAsia" w:ascii="仿宋_GB2312" w:eastAsia="仿宋_GB2312"/>
          <w:sz w:val="24"/>
        </w:rPr>
        <w:t>1.项目名称：</w:t>
      </w:r>
      <w:r>
        <w:rPr>
          <w:rFonts w:hint="eastAsia" w:ascii="仿宋_GB2312" w:hAnsi="宋体" w:eastAsia="仿宋_GB2312"/>
          <w:bCs/>
          <w:sz w:val="24"/>
          <w:u w:val="single"/>
        </w:rPr>
        <w:t xml:space="preserve">                               </w:t>
      </w:r>
      <w:r>
        <w:rPr>
          <w:rFonts w:hint="eastAsia" w:ascii="仿宋_GB2312" w:eastAsia="仿宋_GB2312"/>
          <w:sz w:val="24"/>
        </w:rPr>
        <w:t>；</w:t>
      </w:r>
    </w:p>
    <w:p w14:paraId="50A03315">
      <w:pPr>
        <w:widowControl/>
        <w:spacing w:line="400" w:lineRule="exact"/>
        <w:jc w:val="left"/>
        <w:rPr>
          <w:rFonts w:hint="eastAsia" w:ascii="仿宋_GB2312" w:eastAsia="仿宋_GB2312"/>
          <w:sz w:val="24"/>
        </w:rPr>
      </w:pPr>
      <w:r>
        <w:rPr>
          <w:rFonts w:hint="eastAsia" w:ascii="仿宋_GB2312" w:eastAsia="仿宋_GB2312"/>
          <w:sz w:val="24"/>
        </w:rPr>
        <w:t>2.工程建设地点：</w:t>
      </w:r>
      <w:r>
        <w:rPr>
          <w:rFonts w:hint="eastAsia" w:ascii="仿宋_GB2312" w:hAnsi="宋体" w:eastAsia="仿宋_GB2312"/>
          <w:bCs/>
          <w:sz w:val="24"/>
          <w:u w:val="single"/>
        </w:rPr>
        <w:t xml:space="preserve">                           </w:t>
      </w:r>
      <w:r>
        <w:rPr>
          <w:rFonts w:hint="eastAsia" w:ascii="仿宋_GB2312" w:eastAsia="仿宋_GB2312"/>
          <w:sz w:val="24"/>
        </w:rPr>
        <w:t>；</w:t>
      </w:r>
    </w:p>
    <w:p w14:paraId="5A1C6B42">
      <w:pPr>
        <w:widowControl/>
        <w:spacing w:line="400" w:lineRule="exact"/>
        <w:jc w:val="left"/>
        <w:rPr>
          <w:rFonts w:hint="eastAsia" w:ascii="仿宋_GB2312" w:eastAsia="仿宋_GB2312"/>
          <w:sz w:val="24"/>
        </w:rPr>
      </w:pPr>
      <w:r>
        <w:rPr>
          <w:rFonts w:hint="eastAsia" w:ascii="仿宋_GB2312" w:eastAsia="仿宋_GB2312"/>
          <w:sz w:val="24"/>
        </w:rPr>
        <w:t>3.工程建设规模：</w:t>
      </w:r>
      <w:r>
        <w:rPr>
          <w:rFonts w:hint="eastAsia" w:ascii="仿宋_GB2312" w:eastAsia="仿宋_GB2312"/>
          <w:sz w:val="24"/>
          <w:u w:val="single"/>
        </w:rPr>
        <w:t xml:space="preserve">                            </w:t>
      </w:r>
      <w:r>
        <w:rPr>
          <w:rFonts w:hint="eastAsia" w:ascii="仿宋_GB2312" w:eastAsia="仿宋_GB2312"/>
          <w:sz w:val="24"/>
        </w:rPr>
        <w:t>；</w:t>
      </w:r>
    </w:p>
    <w:p w14:paraId="3A82E343">
      <w:pPr>
        <w:widowControl/>
        <w:spacing w:line="400" w:lineRule="exact"/>
        <w:jc w:val="left"/>
        <w:rPr>
          <w:rFonts w:hint="eastAsia" w:ascii="仿宋_GB2312" w:eastAsia="仿宋_GB2312"/>
          <w:sz w:val="24"/>
        </w:rPr>
      </w:pPr>
      <w:r>
        <w:rPr>
          <w:rFonts w:hint="eastAsia" w:ascii="仿宋_GB2312" w:eastAsia="仿宋_GB2312"/>
          <w:sz w:val="24"/>
        </w:rPr>
        <w:t>4.资金来源：</w:t>
      </w:r>
      <w:r>
        <w:rPr>
          <w:rFonts w:hint="eastAsia" w:ascii="仿宋_GB2312" w:eastAsia="仿宋_GB2312"/>
          <w:sz w:val="24"/>
          <w:u w:val="single"/>
        </w:rPr>
        <w:t xml:space="preserve">                            </w:t>
      </w:r>
      <w:r>
        <w:rPr>
          <w:rFonts w:hint="eastAsia" w:ascii="仿宋_GB2312" w:eastAsia="仿宋_GB2312"/>
          <w:sz w:val="24"/>
        </w:rPr>
        <w:t>；</w:t>
      </w:r>
    </w:p>
    <w:p w14:paraId="3F7BDEC6">
      <w:pPr>
        <w:widowControl/>
        <w:tabs>
          <w:tab w:val="left" w:pos="510"/>
        </w:tabs>
        <w:spacing w:line="400" w:lineRule="exact"/>
        <w:jc w:val="left"/>
        <w:rPr>
          <w:rFonts w:hint="eastAsia"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.招标范围和内容：</w:t>
      </w:r>
      <w:r>
        <w:rPr>
          <w:rFonts w:hint="eastAsia" w:ascii="仿宋_GB2312" w:eastAsia="仿宋_GB2312"/>
          <w:sz w:val="24"/>
          <w:u w:val="single"/>
        </w:rPr>
        <w:t xml:space="preserve">                           </w:t>
      </w:r>
      <w:r>
        <w:rPr>
          <w:rFonts w:hint="eastAsia" w:ascii="仿宋_GB2312" w:eastAsia="仿宋_GB2312"/>
          <w:sz w:val="24"/>
          <w:u w:val="single"/>
          <w:lang w:eastAsia="zh-CN"/>
        </w:rPr>
        <w:t>，</w:t>
      </w:r>
      <w:r>
        <w:rPr>
          <w:rFonts w:hint="eastAsia" w:ascii="仿宋_GB2312" w:eastAsia="仿宋_GB2312"/>
          <w:sz w:val="24"/>
          <w:u w:val="single"/>
        </w:rPr>
        <w:t>具体以提供的工程量清单为准，图纸为依据</w:t>
      </w:r>
      <w:r>
        <w:rPr>
          <w:rFonts w:hint="eastAsia" w:ascii="仿宋_GB2312" w:eastAsia="仿宋_GB2312"/>
          <w:sz w:val="24"/>
        </w:rPr>
        <w:t>；</w:t>
      </w:r>
    </w:p>
    <w:p w14:paraId="7430151C">
      <w:pPr>
        <w:spacing w:line="400" w:lineRule="exact"/>
        <w:jc w:val="left"/>
        <w:rPr>
          <w:rFonts w:hint="eastAsia" w:ascii="仿宋_GB2312" w:hAnsi="宋体" w:eastAsia="仿宋_GB2312"/>
          <w:bCs/>
          <w:sz w:val="24"/>
        </w:rPr>
      </w:pPr>
      <w:r>
        <w:rPr>
          <w:rFonts w:hint="eastAsia" w:ascii="仿宋_GB2312" w:eastAsia="仿宋_GB2312"/>
          <w:sz w:val="24"/>
          <w:lang w:val="en-US" w:eastAsia="zh-CN"/>
        </w:rPr>
        <w:t>6</w:t>
      </w:r>
      <w:r>
        <w:rPr>
          <w:rFonts w:hint="eastAsia" w:ascii="仿宋_GB2312" w:eastAsia="仿宋_GB2312"/>
          <w:sz w:val="24"/>
        </w:rPr>
        <w:t>.本项目采用合同</w:t>
      </w:r>
      <w:r>
        <w:rPr>
          <w:rFonts w:hint="eastAsia" w:ascii="仿宋_GB2312" w:eastAsia="仿宋_GB2312"/>
          <w:sz w:val="24"/>
          <w:lang w:val="en-US" w:eastAsia="zh-CN"/>
        </w:rPr>
        <w:t>价格</w:t>
      </w:r>
      <w:r>
        <w:rPr>
          <w:rFonts w:hint="eastAsia" w:ascii="仿宋_GB2312" w:eastAsia="仿宋_GB2312"/>
          <w:sz w:val="24"/>
        </w:rPr>
        <w:t>形式：</w:t>
      </w:r>
      <w:r>
        <w:rPr>
          <w:rFonts w:hint="eastAsia" w:ascii="仿宋_GB2312" w:hAnsi="宋体" w:eastAsia="仿宋_GB2312"/>
          <w:bCs/>
          <w:sz w:val="24"/>
        </w:rPr>
        <w:t>……</w:t>
      </w:r>
    </w:p>
    <w:p w14:paraId="5807F4B2">
      <w:pPr>
        <w:spacing w:line="400" w:lineRule="exact"/>
        <w:rPr>
          <w:rFonts w:hint="eastAsia"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.踏勘现场：</w:t>
      </w:r>
      <w:r>
        <w:rPr>
          <w:rFonts w:hint="eastAsia" w:ascii="仿宋_GB2312" w:eastAsia="仿宋_GB2312"/>
          <w:sz w:val="24"/>
          <w:u w:val="single"/>
        </w:rPr>
        <w:t>（组织/不组织）</w:t>
      </w:r>
      <w:r>
        <w:rPr>
          <w:rFonts w:hint="eastAsia" w:ascii="仿宋_GB2312" w:eastAsia="仿宋_GB2312"/>
          <w:sz w:val="24"/>
        </w:rPr>
        <w:t>，招标人于</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w:t>
      </w:r>
      <w:r>
        <w:rPr>
          <w:rFonts w:hint="eastAsia" w:ascii="仿宋_GB2312" w:eastAsia="仿宋_GB2312"/>
          <w:sz w:val="24"/>
          <w:u w:val="single"/>
        </w:rPr>
        <w:t xml:space="preserve">    时</w:t>
      </w:r>
      <w:r>
        <w:rPr>
          <w:rFonts w:hint="eastAsia" w:ascii="仿宋_GB2312" w:eastAsia="仿宋_GB2312"/>
          <w:sz w:val="24"/>
        </w:rPr>
        <w:t>，在</w:t>
      </w:r>
      <w:r>
        <w:rPr>
          <w:rFonts w:hint="eastAsia" w:ascii="仿宋_GB2312" w:eastAsia="仿宋_GB2312"/>
          <w:sz w:val="24"/>
          <w:u w:val="single"/>
        </w:rPr>
        <w:t xml:space="preserve">         </w:t>
      </w:r>
      <w:r>
        <w:rPr>
          <w:rFonts w:hint="eastAsia" w:ascii="仿宋_GB2312" w:eastAsia="仿宋_GB2312"/>
          <w:sz w:val="24"/>
        </w:rPr>
        <w:t>组织踏勘现场。</w:t>
      </w:r>
    </w:p>
    <w:p w14:paraId="7AE99BBB">
      <w:pPr>
        <w:spacing w:line="360" w:lineRule="auto"/>
        <w:jc w:val="left"/>
        <w:rPr>
          <w:rFonts w:hint="eastAsia" w:ascii="仿宋_GB2312" w:eastAsia="仿宋_GB2312"/>
          <w:sz w:val="24"/>
          <w:lang w:val="en-US" w:eastAsia="zh-CN"/>
        </w:rPr>
      </w:pPr>
      <w:r>
        <w:rPr>
          <w:rFonts w:hint="eastAsia" w:ascii="仿宋_GB2312" w:eastAsia="仿宋_GB2312"/>
          <w:sz w:val="24"/>
          <w:lang w:val="en-US" w:eastAsia="zh-CN"/>
        </w:rPr>
        <w:t>8.报价要求：</w:t>
      </w:r>
    </w:p>
    <w:p w14:paraId="460C976F">
      <w:pPr>
        <w:spacing w:line="360" w:lineRule="auto"/>
        <w:jc w:val="left"/>
        <w:rPr>
          <w:rFonts w:hint="eastAsia" w:ascii="仿宋_GB2312" w:eastAsia="仿宋_GB2312"/>
          <w:sz w:val="24"/>
          <w:lang w:val="en-US" w:eastAsia="zh-CN"/>
        </w:rPr>
      </w:pPr>
      <w:r>
        <w:rPr>
          <w:rFonts w:hint="eastAsia" w:ascii="仿宋_GB2312" w:eastAsia="仿宋_GB2312"/>
          <w:sz w:val="24"/>
          <w:lang w:val="en-US" w:eastAsia="zh-CN"/>
        </w:rPr>
        <w:t>（1）</w:t>
      </w:r>
    </w:p>
    <w:p w14:paraId="3A8A570E">
      <w:pPr>
        <w:spacing w:line="360" w:lineRule="auto"/>
        <w:jc w:val="left"/>
        <w:rPr>
          <w:rFonts w:hint="default" w:ascii="仿宋_GB2312" w:hAnsi="宋体" w:eastAsia="仿宋_GB2312"/>
          <w:bCs/>
          <w:sz w:val="24"/>
          <w:lang w:val="en-US" w:eastAsia="zh-CN"/>
        </w:rPr>
      </w:pPr>
      <w:r>
        <w:rPr>
          <w:rFonts w:hint="eastAsia" w:ascii="仿宋_GB2312" w:hAnsi="宋体" w:eastAsia="仿宋_GB2312"/>
          <w:bCs/>
          <w:sz w:val="24"/>
          <w:lang w:val="en-US" w:eastAsia="zh-CN"/>
        </w:rPr>
        <w:t>（2）供应商应充分考虑施工期间各种建材的市场风险和国家政策性调整风险系数，并计入总价。不可竞争费用应严格执行有关费用标准，不得降低标准进行竞标。</w:t>
      </w:r>
    </w:p>
    <w:p w14:paraId="36771F6D">
      <w:pPr>
        <w:spacing w:line="400" w:lineRule="exact"/>
        <w:rPr>
          <w:rFonts w:hint="default" w:ascii="仿宋_GB2312" w:eastAsia="仿宋_GB2312"/>
          <w:sz w:val="24"/>
          <w:lang w:val="en-US" w:eastAsia="zh-CN"/>
        </w:rPr>
      </w:pPr>
    </w:p>
    <w:p w14:paraId="244CC64D">
      <w:pPr>
        <w:numPr>
          <w:ilvl w:val="0"/>
          <w:numId w:val="0"/>
        </w:numPr>
        <w:spacing w:line="360" w:lineRule="auto"/>
        <w:jc w:val="left"/>
        <w:rPr>
          <w:rFonts w:hint="eastAsia" w:ascii="仿宋_GB2312" w:hAnsi="宋体" w:eastAsia="仿宋_GB2312"/>
          <w:b/>
          <w:bCs w:val="0"/>
          <w:sz w:val="24"/>
          <w:lang w:val="en-US" w:eastAsia="zh-CN"/>
        </w:rPr>
      </w:pPr>
    </w:p>
    <w:p w14:paraId="1A0E84E9">
      <w:pPr>
        <w:numPr>
          <w:ilvl w:val="0"/>
          <w:numId w:val="0"/>
        </w:numPr>
        <w:spacing w:line="360" w:lineRule="auto"/>
        <w:jc w:val="left"/>
        <w:rPr>
          <w:rFonts w:hint="eastAsia" w:ascii="仿宋_GB2312" w:hAnsi="宋体" w:eastAsia="仿宋_GB2312"/>
          <w:b/>
          <w:bCs w:val="0"/>
          <w:sz w:val="24"/>
        </w:rPr>
      </w:pPr>
      <w:r>
        <w:rPr>
          <w:rFonts w:hint="eastAsia" w:ascii="仿宋_GB2312" w:hAnsi="宋体" w:eastAsia="仿宋_GB2312"/>
          <w:b/>
          <w:bCs w:val="0"/>
          <w:sz w:val="24"/>
          <w:lang w:val="en-US" w:eastAsia="zh-CN"/>
        </w:rPr>
        <w:t>四、技术</w:t>
      </w:r>
      <w:r>
        <w:rPr>
          <w:rFonts w:hint="eastAsia" w:ascii="仿宋_GB2312" w:hAnsi="宋体" w:eastAsia="仿宋_GB2312"/>
          <w:b/>
          <w:bCs w:val="0"/>
          <w:sz w:val="24"/>
        </w:rPr>
        <w:t>要求</w:t>
      </w:r>
    </w:p>
    <w:p w14:paraId="63786802">
      <w:pPr>
        <w:numPr>
          <w:ilvl w:val="0"/>
          <w:numId w:val="0"/>
        </w:numPr>
        <w:spacing w:line="360" w:lineRule="auto"/>
        <w:jc w:val="left"/>
        <w:rPr>
          <w:rFonts w:hint="eastAsia" w:ascii="仿宋_GB2312" w:hAnsi="宋体" w:eastAsia="仿宋_GB2312"/>
          <w:b/>
          <w:bCs w:val="0"/>
          <w:sz w:val="24"/>
          <w:lang w:eastAsia="zh-CN"/>
        </w:rPr>
      </w:pPr>
      <w:r>
        <w:rPr>
          <w:rFonts w:hint="eastAsia" w:ascii="仿宋_GB2312" w:hAnsi="宋体" w:eastAsia="仿宋_GB2312"/>
          <w:bCs/>
          <w:color w:val="FF0000"/>
          <w:sz w:val="24"/>
        </w:rPr>
        <w:t>（注：</w:t>
      </w:r>
      <w:r>
        <w:rPr>
          <w:rFonts w:hint="eastAsia" w:ascii="仿宋" w:hAnsi="仿宋" w:eastAsia="仿宋"/>
          <w:bCs/>
          <w:color w:val="FF0000"/>
          <w:sz w:val="24"/>
        </w:rPr>
        <w:t>①</w:t>
      </w:r>
      <w:r>
        <w:rPr>
          <w:rFonts w:hint="eastAsia" w:ascii="仿宋_GB2312" w:hAnsi="宋体" w:eastAsia="仿宋_GB2312"/>
          <w:bCs/>
          <w:color w:val="FF0000"/>
          <w:sz w:val="24"/>
        </w:rPr>
        <w:t>若有涉及证书、检测报告、截图等其他证明材料的请加粗或下划线</w:t>
      </w:r>
      <w:r>
        <w:rPr>
          <w:rFonts w:hint="eastAsia" w:ascii="仿宋_GB2312" w:hAnsi="宋体" w:eastAsia="仿宋_GB2312"/>
          <w:bCs/>
          <w:color w:val="FF0000"/>
          <w:sz w:val="24"/>
          <w:lang w:val="en-US" w:eastAsia="zh-CN"/>
        </w:rPr>
        <w:t>显著</w:t>
      </w:r>
      <w:r>
        <w:rPr>
          <w:rFonts w:hint="eastAsia" w:ascii="仿宋_GB2312" w:hAnsi="宋体" w:eastAsia="仿宋_GB2312"/>
          <w:bCs/>
          <w:color w:val="FF0000"/>
          <w:sz w:val="24"/>
        </w:rPr>
        <w:t>标记，不建议要求过多客观性证明材料存在排他性，建议不超过3个。其中检测报告应先列明采购人的需求和参数，针对某一项参数要求提供检测报告证明此项参数的，检测报告评审要点在于检测标准、检测对象和检测结论，请慎重编制此项要求</w:t>
      </w:r>
      <w:r>
        <w:rPr>
          <w:rFonts w:hint="eastAsia" w:ascii="仿宋_GB2312" w:hAnsi="宋体" w:eastAsia="仿宋_GB2312"/>
          <w:bCs/>
          <w:color w:val="FF0000"/>
          <w:sz w:val="24"/>
          <w:lang w:eastAsia="zh-CN"/>
        </w:rPr>
        <w:t>。</w:t>
      </w:r>
      <w:r>
        <w:rPr>
          <w:rFonts w:hint="eastAsia" w:ascii="仿宋" w:hAnsi="仿宋" w:eastAsia="仿宋"/>
          <w:bCs/>
          <w:color w:val="FF0000"/>
          <w:sz w:val="24"/>
        </w:rPr>
        <w:t>②</w:t>
      </w:r>
      <w:r>
        <w:rPr>
          <w:rFonts w:hint="eastAsia" w:ascii="仿宋_GB2312" w:hAnsi="宋体" w:eastAsia="仿宋_GB2312"/>
          <w:bCs/>
          <w:color w:val="FF0000"/>
          <w:sz w:val="24"/>
        </w:rPr>
        <w:t>所有</w:t>
      </w:r>
      <w:r>
        <w:rPr>
          <w:rFonts w:hint="eastAsia" w:ascii="仿宋_GB2312" w:hAnsi="宋体" w:eastAsia="仿宋_GB2312"/>
          <w:bCs/>
          <w:color w:val="FF0000"/>
          <w:sz w:val="24"/>
          <w:lang w:val="en-US" w:eastAsia="zh-CN"/>
        </w:rPr>
        <w:t>服务</w:t>
      </w:r>
      <w:r>
        <w:rPr>
          <w:rFonts w:hint="eastAsia" w:ascii="仿宋_GB2312" w:hAnsi="宋体" w:eastAsia="仿宋_GB2312"/>
          <w:bCs/>
          <w:color w:val="FF0000"/>
          <w:sz w:val="24"/>
        </w:rPr>
        <w:t>要求应在市场上至少有三个不同</w:t>
      </w:r>
      <w:r>
        <w:rPr>
          <w:rFonts w:hint="eastAsia" w:ascii="仿宋_GB2312" w:hAnsi="宋体" w:eastAsia="仿宋_GB2312"/>
          <w:bCs/>
          <w:color w:val="FF0000"/>
          <w:sz w:val="24"/>
          <w:lang w:val="en-US" w:eastAsia="zh-CN"/>
        </w:rPr>
        <w:t>供应商</w:t>
      </w:r>
      <w:r>
        <w:rPr>
          <w:rFonts w:hint="eastAsia" w:ascii="仿宋_GB2312" w:hAnsi="宋体" w:eastAsia="仿宋_GB2312"/>
          <w:bCs/>
          <w:color w:val="FF0000"/>
          <w:sz w:val="24"/>
        </w:rPr>
        <w:t>能满足。</w:t>
      </w:r>
      <w:r>
        <w:rPr>
          <w:rFonts w:hint="eastAsia" w:ascii="仿宋" w:hAnsi="仿宋" w:eastAsia="仿宋" w:cs="仿宋"/>
          <w:bCs/>
          <w:color w:val="FF0000"/>
          <w:sz w:val="24"/>
        </w:rPr>
        <w:t>③</w:t>
      </w:r>
      <w:r>
        <w:rPr>
          <w:rFonts w:hint="eastAsia" w:ascii="仿宋" w:hAnsi="仿宋" w:eastAsia="仿宋"/>
          <w:bCs/>
          <w:color w:val="FF0000"/>
          <w:sz w:val="24"/>
        </w:rPr>
        <w:t>要求的</w:t>
      </w:r>
      <w:r>
        <w:rPr>
          <w:rFonts w:hint="eastAsia" w:ascii="仿宋" w:hAnsi="仿宋" w:eastAsia="仿宋"/>
          <w:bCs/>
          <w:color w:val="FF0000"/>
          <w:sz w:val="24"/>
          <w:lang w:val="en-US" w:eastAsia="zh-CN"/>
        </w:rPr>
        <w:t>技术要求</w:t>
      </w:r>
      <w:r>
        <w:rPr>
          <w:rFonts w:hint="eastAsia" w:ascii="仿宋" w:hAnsi="仿宋" w:eastAsia="仿宋"/>
          <w:bCs/>
          <w:color w:val="FF0000"/>
          <w:sz w:val="24"/>
        </w:rPr>
        <w:t>描述上应</w:t>
      </w:r>
      <w:r>
        <w:rPr>
          <w:rFonts w:hint="eastAsia" w:ascii="仿宋_GB2312" w:hAnsi="宋体" w:eastAsia="仿宋_GB2312"/>
          <w:bCs/>
          <w:color w:val="FF0000"/>
          <w:sz w:val="24"/>
        </w:rPr>
        <w:t>避免广告性推销词汇或表述，避免照搬说明书或指导书条款，注重描述功能和必要的技术指标</w:t>
      </w:r>
      <w:r>
        <w:rPr>
          <w:rFonts w:hint="eastAsia" w:ascii="仿宋_GB2312" w:hAnsi="宋体" w:eastAsia="仿宋_GB2312"/>
          <w:bCs/>
          <w:color w:val="FF0000"/>
          <w:sz w:val="24"/>
          <w:lang w:eastAsia="zh-CN"/>
        </w:rPr>
        <w:t>。</w:t>
      </w:r>
      <w:r>
        <w:rPr>
          <w:rFonts w:hint="eastAsia" w:ascii="仿宋" w:hAnsi="仿宋" w:eastAsia="仿宋" w:cs="仿宋"/>
          <w:bCs/>
          <w:color w:val="FF0000"/>
          <w:sz w:val="24"/>
        </w:rPr>
        <w:t>④</w:t>
      </w:r>
      <w:r>
        <w:rPr>
          <w:rFonts w:hint="eastAsia" w:ascii="仿宋_GB2312" w:hAnsi="宋体" w:eastAsia="仿宋_GB2312"/>
          <w:bCs/>
          <w:color w:val="FF0000"/>
          <w:sz w:val="24"/>
        </w:rPr>
        <w:t>若有演示要求的参数条款请在对应的技术参数条款后显著标记“此项提供现场演示”</w:t>
      </w:r>
      <w:r>
        <w:rPr>
          <w:rFonts w:hint="eastAsia" w:ascii="仿宋_GB2312" w:hAnsi="宋体" w:eastAsia="仿宋_GB2312"/>
          <w:bCs/>
          <w:color w:val="FF0000"/>
          <w:sz w:val="24"/>
          <w:lang w:eastAsia="zh-CN"/>
        </w:rPr>
        <w:t>。）</w:t>
      </w:r>
    </w:p>
    <w:p w14:paraId="6B3B483A">
      <w:pPr>
        <w:spacing w:line="360" w:lineRule="auto"/>
        <w:jc w:val="both"/>
        <w:rPr>
          <w:rFonts w:hint="default" w:ascii="仿宋_GB2312" w:hAnsi="宋体" w:eastAsia="仿宋_GB2312"/>
          <w:bCs/>
          <w:sz w:val="24"/>
          <w:lang w:val="en-US" w:eastAsia="zh-CN"/>
        </w:rPr>
      </w:pPr>
      <w:r>
        <w:rPr>
          <w:rFonts w:hint="eastAsia" w:ascii="仿宋_GB2312" w:hAnsi="宋体" w:eastAsia="仿宋_GB2312"/>
          <w:bCs/>
          <w:sz w:val="24"/>
          <w:lang w:val="en-US" w:eastAsia="zh-CN"/>
        </w:rPr>
        <w:t>1.</w:t>
      </w:r>
      <w:r>
        <w:rPr>
          <w:rFonts w:hint="eastAsia" w:ascii="仿宋_GB2312" w:hAnsi="宋体" w:eastAsia="仿宋_GB2312"/>
          <w:bCs/>
          <w:sz w:val="24"/>
        </w:rPr>
        <w:t>……</w:t>
      </w:r>
      <w:r>
        <w:rPr>
          <w:rFonts w:hint="eastAsia" w:ascii="仿宋_GB2312" w:hAnsi="宋体" w:eastAsia="仿宋_GB2312"/>
          <w:bCs/>
          <w:sz w:val="24"/>
          <w:lang w:val="en-US" w:eastAsia="zh-CN"/>
        </w:rPr>
        <w:t>如工作要求、人员要求、现场安全防护设施要求、文明施工要求、施工现场管理人员要求、施工机具进场要求</w:t>
      </w:r>
    </w:p>
    <w:p w14:paraId="1FA4CE50">
      <w:pPr>
        <w:spacing w:line="360" w:lineRule="auto"/>
        <w:jc w:val="left"/>
        <w:rPr>
          <w:rFonts w:hint="eastAsia" w:ascii="仿宋_GB2312" w:hAnsi="宋体" w:eastAsia="仿宋_GB2312"/>
          <w:b w:val="0"/>
          <w:bCs/>
          <w:sz w:val="24"/>
          <w:lang w:val="en-US" w:eastAsia="zh-CN"/>
        </w:rPr>
      </w:pPr>
      <w:r>
        <w:rPr>
          <w:rFonts w:hint="eastAsia" w:ascii="仿宋_GB2312" w:hAnsi="宋体" w:eastAsia="仿宋_GB2312"/>
          <w:b w:val="0"/>
          <w:bCs/>
          <w:sz w:val="24"/>
          <w:lang w:val="en-US" w:eastAsia="zh-CN"/>
        </w:rPr>
        <w:t>2.工程采购清单和要求：</w:t>
      </w:r>
    </w:p>
    <w:p w14:paraId="36EC2774">
      <w:pPr>
        <w:spacing w:line="360" w:lineRule="auto"/>
        <w:jc w:val="left"/>
        <w:rPr>
          <w:rFonts w:hint="eastAsia" w:ascii="仿宋_GB2312" w:hAnsi="宋体" w:eastAsia="仿宋_GB2312"/>
          <w:b w:val="0"/>
          <w:bCs/>
          <w:sz w:val="24"/>
          <w:lang w:val="en-US" w:eastAsia="zh-CN"/>
        </w:rPr>
      </w:pPr>
      <w:r>
        <w:rPr>
          <w:rFonts w:hint="eastAsia" w:ascii="仿宋_GB2312" w:hAnsi="宋体" w:eastAsia="仿宋_GB2312"/>
          <w:b w:val="0"/>
          <w:bCs/>
          <w:sz w:val="24"/>
          <w:lang w:val="en-US" w:eastAsia="zh-CN"/>
        </w:rPr>
        <w:t>（1）具体工程量清单及图纸：以“采购文件相关附件”为准。</w:t>
      </w:r>
    </w:p>
    <w:p w14:paraId="55836055">
      <w:pPr>
        <w:spacing w:line="360" w:lineRule="auto"/>
        <w:jc w:val="left"/>
        <w:rPr>
          <w:rFonts w:hint="default" w:ascii="仿宋_GB2312" w:hAnsi="宋体" w:eastAsia="仿宋_GB2312"/>
          <w:b w:val="0"/>
          <w:bCs/>
          <w:sz w:val="24"/>
          <w:lang w:val="en-US" w:eastAsia="zh-CN"/>
        </w:rPr>
      </w:pPr>
      <w:r>
        <w:rPr>
          <w:rFonts w:hint="eastAsia" w:ascii="仿宋_GB2312" w:hAnsi="宋体" w:eastAsia="仿宋_GB2312"/>
          <w:b w:val="0"/>
          <w:bCs/>
          <w:sz w:val="24"/>
          <w:lang w:val="en-US" w:eastAsia="zh-CN"/>
        </w:rPr>
        <w:t>（2）工程建设标准强制性条文：依据磋商文件要求，本采购项目的材料、设备、施工必须达到现行的国家、行业和地方的一切与采购项目相关的工程建设标准强制性条文。</w:t>
      </w:r>
    </w:p>
    <w:p w14:paraId="703DF205">
      <w:pPr>
        <w:spacing w:line="360" w:lineRule="auto"/>
        <w:jc w:val="left"/>
        <w:rPr>
          <w:rFonts w:hint="default" w:ascii="仿宋_GB2312" w:hAnsi="宋体" w:eastAsia="仿宋_GB2312"/>
          <w:b/>
          <w:bCs w:val="0"/>
          <w:sz w:val="24"/>
          <w:lang w:val="en-US" w:eastAsia="zh-CN"/>
        </w:rPr>
      </w:pPr>
      <w:r>
        <w:rPr>
          <w:rFonts w:hint="eastAsia" w:ascii="仿宋_GB2312" w:hAnsi="宋体" w:eastAsia="仿宋_GB2312"/>
          <w:b/>
          <w:bCs w:val="0"/>
          <w:sz w:val="24"/>
          <w:lang w:val="en-US" w:eastAsia="zh-CN"/>
        </w:rPr>
        <w:t>五、商务要求</w:t>
      </w:r>
    </w:p>
    <w:p w14:paraId="249129EE">
      <w:pPr>
        <w:spacing w:line="360" w:lineRule="auto"/>
        <w:jc w:val="left"/>
        <w:rPr>
          <w:rFonts w:ascii="仿宋_GB2312" w:eastAsia="仿宋_GB2312"/>
          <w:bCs/>
          <w:sz w:val="24"/>
        </w:rPr>
      </w:pPr>
      <w:r>
        <w:rPr>
          <w:rFonts w:hint="eastAsia" w:ascii="仿宋_GB2312" w:eastAsia="仿宋_GB2312"/>
          <w:bCs/>
          <w:sz w:val="24"/>
          <w:lang w:val="en-US" w:eastAsia="zh-CN"/>
        </w:rPr>
        <w:t>1</w:t>
      </w:r>
      <w:r>
        <w:rPr>
          <w:rFonts w:hint="eastAsia" w:ascii="仿宋_GB2312" w:eastAsia="仿宋_GB2312"/>
          <w:bCs/>
          <w:sz w:val="24"/>
        </w:rPr>
        <w:t>.</w:t>
      </w:r>
      <w:r>
        <w:rPr>
          <w:rFonts w:hint="eastAsia" w:ascii="仿宋_GB2312" w:hAnsi="宋体" w:eastAsia="仿宋_GB2312"/>
          <w:bCs/>
          <w:sz w:val="24"/>
          <w:lang w:val="en-US" w:eastAsia="zh-CN"/>
        </w:rPr>
        <w:t>工期</w:t>
      </w:r>
    </w:p>
    <w:p w14:paraId="2D591310">
      <w:pPr>
        <w:spacing w:line="360" w:lineRule="auto"/>
        <w:jc w:val="left"/>
        <w:rPr>
          <w:rFonts w:hint="eastAsia" w:ascii="仿宋_GB2312" w:hAnsi="宋体" w:eastAsia="仿宋_GB2312" w:cs="宋体"/>
          <w:bCs/>
          <w:color w:val="FF0000"/>
          <w:kern w:val="0"/>
          <w:sz w:val="24"/>
          <w:lang w:eastAsia="zh-CN"/>
        </w:rPr>
      </w:pPr>
      <w:r>
        <w:rPr>
          <w:rFonts w:hint="eastAsia" w:ascii="仿宋_GB2312" w:hAnsi="宋体" w:eastAsia="仿宋_GB2312" w:cs="宋体"/>
          <w:bCs/>
          <w:color w:val="000000"/>
          <w:kern w:val="0"/>
          <w:sz w:val="24"/>
        </w:rPr>
        <w:t>（1）</w:t>
      </w:r>
      <w:r>
        <w:rPr>
          <w:rFonts w:hint="eastAsia" w:ascii="仿宋_GB2312" w:hAnsi="宋体" w:eastAsia="仿宋_GB2312" w:cs="宋体"/>
          <w:bCs/>
          <w:color w:val="000000"/>
          <w:kern w:val="0"/>
          <w:sz w:val="24"/>
          <w:lang w:val="en-US" w:eastAsia="zh-CN"/>
        </w:rPr>
        <w:t>工期</w:t>
      </w:r>
      <w:r>
        <w:rPr>
          <w:rFonts w:hint="eastAsia" w:ascii="仿宋_GB2312" w:hAnsi="宋体" w:eastAsia="仿宋_GB2312" w:cs="宋体"/>
          <w:bCs/>
          <w:color w:val="000000"/>
          <w:kern w:val="0"/>
          <w:sz w:val="24"/>
        </w:rPr>
        <w:t>：</w:t>
      </w:r>
      <w:r>
        <w:rPr>
          <w:rFonts w:hint="eastAsia" w:ascii="仿宋_GB2312" w:hAnsi="宋体" w:eastAsia="仿宋_GB2312" w:cs="宋体"/>
          <w:bCs/>
          <w:color w:val="FF0000"/>
          <w:kern w:val="0"/>
          <w:sz w:val="24"/>
        </w:rPr>
        <w:t>总工期为   个日历天</w:t>
      </w:r>
      <w:r>
        <w:rPr>
          <w:rFonts w:hint="eastAsia" w:ascii="仿宋_GB2312" w:hAnsi="宋体" w:eastAsia="仿宋_GB2312" w:cs="宋体"/>
          <w:bCs/>
          <w:color w:val="FF0000"/>
          <w:kern w:val="0"/>
          <w:sz w:val="24"/>
          <w:lang w:eastAsia="zh-CN"/>
        </w:rPr>
        <w:t>。</w:t>
      </w:r>
    </w:p>
    <w:p w14:paraId="5F9633FC">
      <w:pPr>
        <w:spacing w:line="360" w:lineRule="auto"/>
        <w:jc w:val="left"/>
        <w:rPr>
          <w:rFonts w:ascii="仿宋_GB2312" w:hAnsi="宋体" w:eastAsia="仿宋_GB2312"/>
          <w:bCs/>
          <w:color w:val="FF0000"/>
          <w:sz w:val="24"/>
        </w:rPr>
      </w:pPr>
      <w:r>
        <w:rPr>
          <w:rFonts w:hint="eastAsia" w:ascii="仿宋_GB2312" w:hAnsi="宋体" w:eastAsia="仿宋_GB2312"/>
          <w:bCs/>
          <w:sz w:val="24"/>
          <w:lang w:val="en-US" w:eastAsia="zh-CN"/>
        </w:rPr>
        <w:t>2</w:t>
      </w:r>
      <w:r>
        <w:rPr>
          <w:rFonts w:hint="eastAsia" w:ascii="仿宋_GB2312" w:hAnsi="宋体" w:eastAsia="仿宋_GB2312"/>
          <w:bCs/>
          <w:sz w:val="24"/>
        </w:rPr>
        <w:t>.结算方式及要求</w:t>
      </w:r>
      <w:r>
        <w:rPr>
          <w:rFonts w:hint="eastAsia" w:ascii="仿宋_GB2312" w:hAnsi="宋体" w:eastAsia="仿宋_GB2312"/>
          <w:bCs/>
          <w:color w:val="FF0000"/>
          <w:sz w:val="24"/>
        </w:rPr>
        <w:t>（若有</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根据项目实际情况填写</w:t>
      </w:r>
      <w:r>
        <w:rPr>
          <w:rFonts w:hint="eastAsia" w:ascii="仿宋_GB2312" w:hAnsi="宋体" w:eastAsia="仿宋_GB2312"/>
          <w:bCs/>
          <w:color w:val="FF0000"/>
          <w:sz w:val="24"/>
        </w:rPr>
        <w:t>）</w:t>
      </w:r>
    </w:p>
    <w:p w14:paraId="4A41F5B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结算要求：</w:t>
      </w:r>
    </w:p>
    <w:p w14:paraId="427F6007">
      <w:pPr>
        <w:spacing w:line="360" w:lineRule="auto"/>
        <w:jc w:val="left"/>
        <w:rPr>
          <w:rFonts w:ascii="仿宋_GB2312" w:hAnsi="宋体" w:eastAsia="仿宋_GB2312"/>
          <w:bCs/>
          <w:sz w:val="24"/>
        </w:rPr>
      </w:pPr>
      <w:r>
        <w:rPr>
          <w:rFonts w:hint="eastAsia" w:ascii="仿宋_GB2312" w:hAnsi="宋体" w:eastAsia="仿宋_GB2312"/>
          <w:bCs/>
          <w:sz w:val="24"/>
          <w:lang w:val="en-US" w:eastAsia="zh-CN"/>
        </w:rPr>
        <w:t>3</w:t>
      </w:r>
      <w:r>
        <w:rPr>
          <w:rFonts w:hint="eastAsia" w:ascii="仿宋_GB2312" w:hAnsi="宋体" w:eastAsia="仿宋_GB2312"/>
          <w:bCs/>
          <w:sz w:val="24"/>
        </w:rPr>
        <w:t>.付款方式及要求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7081"/>
      </w:tblGrid>
      <w:tr w14:paraId="769E1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49E119C">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支付期次</w:t>
            </w:r>
          </w:p>
        </w:tc>
        <w:tc>
          <w:tcPr>
            <w:tcW w:w="1418" w:type="dxa"/>
          </w:tcPr>
          <w:p w14:paraId="76FBEB9C">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支付比例</w:t>
            </w:r>
          </w:p>
        </w:tc>
        <w:tc>
          <w:tcPr>
            <w:tcW w:w="7081" w:type="dxa"/>
          </w:tcPr>
          <w:p w14:paraId="3B2CCBE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支付要求</w:t>
            </w:r>
          </w:p>
        </w:tc>
      </w:tr>
      <w:tr w14:paraId="03988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C731F37">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r>
              <w:rPr>
                <w:rFonts w:hint="eastAsia" w:ascii="仿宋_GB2312" w:hAnsi="宋体" w:eastAsia="仿宋_GB2312" w:cs="宋体"/>
                <w:bCs/>
                <w:color w:val="FF0000"/>
                <w:kern w:val="0"/>
                <w:sz w:val="24"/>
                <w:lang w:eastAsia="zh-CN"/>
              </w:rPr>
              <w:t>（</w:t>
            </w:r>
            <w:r>
              <w:rPr>
                <w:rFonts w:hint="eastAsia" w:ascii="仿宋_GB2312" w:hAnsi="宋体" w:eastAsia="仿宋_GB2312" w:cs="宋体"/>
                <w:bCs/>
                <w:color w:val="FF0000"/>
                <w:kern w:val="0"/>
                <w:sz w:val="24"/>
              </w:rPr>
              <w:t>按次/月/季度/（或者自定义结算时间跨度）</w:t>
            </w:r>
          </w:p>
        </w:tc>
        <w:tc>
          <w:tcPr>
            <w:tcW w:w="1418" w:type="dxa"/>
          </w:tcPr>
          <w:p w14:paraId="27EA88E1">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_</w:t>
            </w:r>
            <w:r>
              <w:rPr>
                <w:rFonts w:ascii="仿宋_GB2312" w:hAnsi="宋体" w:eastAsia="仿宋_GB2312" w:cs="宋体"/>
                <w:bCs/>
                <w:color w:val="000000"/>
                <w:kern w:val="0"/>
                <w:sz w:val="24"/>
              </w:rPr>
              <w:t>__%</w:t>
            </w:r>
          </w:p>
        </w:tc>
        <w:tc>
          <w:tcPr>
            <w:tcW w:w="7081" w:type="dxa"/>
          </w:tcPr>
          <w:p w14:paraId="7E7992FB">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例如：项目</w:t>
            </w:r>
            <w:r>
              <w:rPr>
                <w:rFonts w:hint="eastAsia" w:ascii="仿宋_GB2312" w:hAnsi="宋体" w:eastAsia="仿宋_GB2312"/>
                <w:bCs/>
                <w:color w:val="FF0000"/>
                <w:sz w:val="24"/>
                <w:lang w:val="en-US" w:eastAsia="zh-CN"/>
              </w:rPr>
              <w:t>完成XX内容，</w:t>
            </w:r>
            <w:r>
              <w:rPr>
                <w:rFonts w:hint="eastAsia" w:ascii="仿宋_GB2312" w:hAnsi="宋体" w:eastAsia="仿宋_GB2312"/>
                <w:bCs/>
                <w:color w:val="FF0000"/>
                <w:sz w:val="24"/>
              </w:rPr>
              <w:t>经</w:t>
            </w:r>
            <w:r>
              <w:rPr>
                <w:rFonts w:hint="eastAsia" w:ascii="仿宋_GB2312" w:hAnsi="宋体" w:eastAsia="仿宋_GB2312"/>
                <w:bCs/>
                <w:color w:val="FF0000"/>
                <w:sz w:val="24"/>
                <w:lang w:val="en-US" w:eastAsia="zh-CN"/>
              </w:rPr>
              <w:t>采购人</w:t>
            </w:r>
            <w:r>
              <w:rPr>
                <w:rFonts w:hint="eastAsia" w:ascii="仿宋_GB2312" w:hAnsi="宋体" w:eastAsia="仿宋_GB2312"/>
                <w:bCs/>
                <w:color w:val="FF0000"/>
                <w:sz w:val="24"/>
              </w:rPr>
              <w:t>验收合格后，中标人提供增值税专用发票，采购人在收到发票之日起</w:t>
            </w:r>
            <w:r>
              <w:rPr>
                <w:rFonts w:hint="eastAsia" w:ascii="仿宋_GB2312" w:hAnsi="宋体" w:eastAsia="仿宋_GB2312"/>
                <w:bCs/>
                <w:color w:val="FF0000"/>
                <w:sz w:val="24"/>
                <w:lang w:val="en-US" w:eastAsia="zh-CN"/>
              </w:rPr>
              <w:t>14</w:t>
            </w:r>
            <w:r>
              <w:rPr>
                <w:rFonts w:hint="eastAsia" w:ascii="仿宋_GB2312" w:hAnsi="宋体" w:eastAsia="仿宋_GB2312"/>
                <w:bCs/>
                <w:color w:val="FF0000"/>
                <w:sz w:val="24"/>
              </w:rPr>
              <w:t>日支付。</w:t>
            </w:r>
          </w:p>
          <w:p w14:paraId="4BF172EF">
            <w:pPr>
              <w:spacing w:line="360" w:lineRule="auto"/>
              <w:ind w:firstLine="480" w:firstLineChars="200"/>
              <w:jc w:val="left"/>
              <w:rPr>
                <w:rFonts w:ascii="仿宋_GB2312" w:eastAsia="仿宋_GB2312" w:cs="宋体"/>
                <w:bCs/>
                <w:color w:val="000000"/>
                <w:kern w:val="0"/>
                <w:sz w:val="24"/>
              </w:rPr>
            </w:pPr>
          </w:p>
          <w:p w14:paraId="608A0DC4">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
                <w:bCs/>
                <w:color w:val="FF0000"/>
                <w:kern w:val="0"/>
                <w:sz w:val="24"/>
                <w:highlight w:val="yellow"/>
                <w:lang w:val="en-US" w:eastAsia="zh-CN"/>
              </w:rPr>
              <w:t>注：采购人支付时间不可超过14日</w:t>
            </w:r>
          </w:p>
        </w:tc>
      </w:tr>
      <w:tr w14:paraId="2EBF4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32A3331E">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以此类推</w:t>
            </w:r>
          </w:p>
        </w:tc>
        <w:tc>
          <w:tcPr>
            <w:tcW w:w="1418" w:type="dxa"/>
          </w:tcPr>
          <w:p w14:paraId="70A5AA4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c>
          <w:tcPr>
            <w:tcW w:w="7081" w:type="dxa"/>
          </w:tcPr>
          <w:p w14:paraId="48F2D561">
            <w:pPr>
              <w:spacing w:line="360" w:lineRule="auto"/>
              <w:ind w:firstLine="480" w:firstLineChars="200"/>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r>
    </w:tbl>
    <w:p w14:paraId="64E0D25E">
      <w:pPr>
        <w:spacing w:line="360" w:lineRule="auto"/>
        <w:ind w:firstLine="240" w:firstLineChars="100"/>
        <w:jc w:val="left"/>
        <w:rPr>
          <w:rFonts w:ascii="仿宋_GB2312" w:hAnsi="宋体" w:eastAsia="仿宋_GB2312"/>
          <w:bCs/>
          <w:sz w:val="24"/>
        </w:rPr>
      </w:pPr>
      <w:r>
        <w:rPr>
          <w:rFonts w:ascii="仿宋_GB2312" w:hAnsi="宋体" w:eastAsia="仿宋_GB2312"/>
          <w:bCs/>
          <w:sz w:val="24"/>
        </w:rPr>
        <w:t xml:space="preserve"> </w:t>
      </w:r>
    </w:p>
    <w:p w14:paraId="601EB383">
      <w:pPr>
        <w:numPr>
          <w:ilvl w:val="0"/>
          <w:numId w:val="0"/>
        </w:numPr>
        <w:spacing w:line="360" w:lineRule="auto"/>
        <w:jc w:val="left"/>
        <w:rPr>
          <w:rFonts w:hint="eastAsia"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履约保证金: 中标人在合同签订时，向采购人以银行转账或电子保函的形式缴纳合同总金额的  %作为履约保证金</w:t>
      </w:r>
      <w:r>
        <w:rPr>
          <w:rFonts w:hint="eastAsia" w:ascii="仿宋_GB2312" w:eastAsia="仿宋_GB2312"/>
          <w:color w:val="FF0000"/>
          <w:sz w:val="24"/>
        </w:rPr>
        <w:t>（不得超过中标金额的10%）</w:t>
      </w:r>
      <w:r>
        <w:rPr>
          <w:rFonts w:hint="eastAsia" w:ascii="仿宋_GB2312" w:eastAsia="仿宋_GB2312"/>
          <w:sz w:val="24"/>
        </w:rPr>
        <w:t>[本采购包为非专门面向中小企业的政府采购项目，若本项目中标人为中小微企业(须提供声明函)，缴纳履约保证金的金额为中标金额的  %]。中标人若以电子保函形式提交履约保证金的，要求保函期限覆盖本项目合同期限。中标人若以其他方式提交履约保证金的，该履约保证金在项目最终验收合格之日起至合同期满后，待中标人完整履行合同，且无质量问题，采购人予以无息退还履约保证金。</w:t>
      </w:r>
    </w:p>
    <w:p w14:paraId="699E4278">
      <w:pPr>
        <w:spacing w:line="360" w:lineRule="auto"/>
        <w:jc w:val="left"/>
        <w:rPr>
          <w:rFonts w:hint="eastAsia" w:ascii="仿宋_GB2312" w:hAnsi="宋体" w:eastAsia="仿宋_GB2312"/>
          <w:bCs/>
          <w:sz w:val="24"/>
          <w:lang w:val="en-US" w:eastAsia="zh-CN"/>
        </w:rPr>
      </w:pPr>
      <w:bookmarkStart w:id="0" w:name="_Toc9478"/>
      <w:bookmarkStart w:id="1" w:name="_Toc6868"/>
      <w:r>
        <w:rPr>
          <w:rFonts w:hint="eastAsia" w:ascii="仿宋_GB2312" w:hAnsi="宋体" w:eastAsia="仿宋_GB2312"/>
          <w:bCs/>
          <w:sz w:val="24"/>
          <w:lang w:val="en-US" w:eastAsia="zh-CN"/>
        </w:rPr>
        <w:t>5.工程量清单核对要求</w:t>
      </w:r>
      <w:bookmarkStart w:id="2" w:name="_GoBack"/>
      <w:bookmarkEnd w:id="2"/>
    </w:p>
    <w:p w14:paraId="267C92BD">
      <w:pPr>
        <w:spacing w:line="360" w:lineRule="auto"/>
        <w:jc w:val="left"/>
        <w:rPr>
          <w:rFonts w:hint="default" w:ascii="仿宋_GB2312" w:hAnsi="宋体" w:eastAsia="仿宋_GB2312"/>
          <w:bCs/>
          <w:sz w:val="24"/>
          <w:lang w:val="en-US" w:eastAsia="zh-CN"/>
        </w:rPr>
      </w:pPr>
      <w:r>
        <w:rPr>
          <w:rFonts w:hint="eastAsia" w:ascii="仿宋_GB2312" w:hAnsi="宋体" w:eastAsia="仿宋_GB2312"/>
          <w:bCs/>
          <w:sz w:val="24"/>
          <w:lang w:val="en-US" w:eastAsia="zh-CN"/>
        </w:rPr>
        <w:t>6.工程施工所需的所有设施、器械及施工期间的水、电费等一切费用全部由成交人承担，按照……承担。</w:t>
      </w:r>
    </w:p>
    <w:p w14:paraId="48CEE18C">
      <w:pPr>
        <w:spacing w:line="360" w:lineRule="auto"/>
        <w:jc w:val="left"/>
        <w:rPr>
          <w:rFonts w:hint="eastAsia" w:ascii="仿宋_GB2312" w:hAnsi="宋体" w:eastAsia="仿宋_GB2312"/>
          <w:bCs/>
          <w:sz w:val="24"/>
          <w:lang w:val="en-US" w:eastAsia="zh-CN"/>
        </w:rPr>
      </w:pPr>
    </w:p>
    <w:p w14:paraId="22468FC3">
      <w:pPr>
        <w:spacing w:line="360" w:lineRule="auto"/>
        <w:jc w:val="left"/>
        <w:rPr>
          <w:rFonts w:ascii="仿宋_GB2312" w:eastAsia="仿宋_GB2312"/>
          <w:bCs/>
          <w:sz w:val="24"/>
        </w:rPr>
      </w:pPr>
      <w:r>
        <w:rPr>
          <w:rFonts w:hint="eastAsia" w:ascii="仿宋_GB2312" w:hAnsi="宋体" w:eastAsia="仿宋_GB2312"/>
          <w:bCs/>
          <w:sz w:val="24"/>
          <w:lang w:val="en-US" w:eastAsia="zh-CN"/>
        </w:rPr>
        <w:t>7</w:t>
      </w:r>
      <w:r>
        <w:rPr>
          <w:rFonts w:hint="eastAsia" w:ascii="仿宋_GB2312" w:hAnsi="宋体" w:eastAsia="仿宋_GB2312"/>
          <w:bCs/>
          <w:sz w:val="24"/>
        </w:rPr>
        <w:t>.验收要求</w:t>
      </w:r>
      <w:bookmarkEnd w:id="0"/>
      <w:bookmarkEnd w:id="1"/>
    </w:p>
    <w:p w14:paraId="0560BF95">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49A73FE5">
      <w:pPr>
        <w:spacing w:line="360" w:lineRule="auto"/>
        <w:jc w:val="left"/>
        <w:rPr>
          <w:rFonts w:hint="default" w:ascii="仿宋_GB2312" w:hAnsi="宋体" w:eastAsia="仿宋_GB2312"/>
          <w:bCs/>
          <w:color w:val="000000" w:themeColor="text1"/>
          <w:sz w:val="24"/>
          <w:lang w:val="en-US" w:eastAsia="zh-CN"/>
        </w:rPr>
      </w:pPr>
      <w:r>
        <w:rPr>
          <w:rFonts w:hint="eastAsia" w:ascii="仿宋_GB2312" w:hAnsi="宋体" w:eastAsia="仿宋_GB2312"/>
          <w:bCs/>
          <w:color w:val="000000" w:themeColor="text1"/>
          <w:sz w:val="24"/>
          <w:lang w:val="en-US" w:eastAsia="zh-CN"/>
        </w:rPr>
        <w:t>8.工程保修期及售后服务</w:t>
      </w:r>
    </w:p>
    <w:p w14:paraId="7AD223AE">
      <w:pPr>
        <w:spacing w:line="360" w:lineRule="auto"/>
        <w:ind w:firstLine="360" w:firstLineChars="150"/>
        <w:jc w:val="left"/>
        <w:rPr>
          <w:rFonts w:hint="eastAsia" w:ascii="仿宋_GB2312" w:hAnsi="宋体" w:eastAsia="仿宋_GB2312"/>
          <w:bCs/>
          <w:sz w:val="24"/>
          <w:lang w:val="en-US" w:eastAsia="zh-CN"/>
        </w:rPr>
      </w:pPr>
      <w:r>
        <w:rPr>
          <w:rFonts w:hint="eastAsia" w:ascii="仿宋_GB2312" w:hAnsi="宋体" w:eastAsia="仿宋_GB2312"/>
          <w:bCs/>
          <w:sz w:val="24"/>
        </w:rPr>
        <w:t>……</w:t>
      </w:r>
    </w:p>
    <w:p w14:paraId="459D03CA">
      <w:pPr>
        <w:spacing w:line="360" w:lineRule="auto"/>
        <w:jc w:val="left"/>
        <w:rPr>
          <w:rFonts w:ascii="仿宋_GB2312" w:hAnsi="宋体" w:eastAsia="仿宋_GB2312"/>
          <w:bCs/>
          <w:color w:val="FF0000"/>
          <w:sz w:val="24"/>
        </w:rPr>
      </w:pPr>
      <w:r>
        <w:rPr>
          <w:rFonts w:hint="eastAsia" w:ascii="仿宋_GB2312" w:hAnsi="宋体" w:eastAsia="仿宋_GB2312"/>
          <w:bCs/>
          <w:sz w:val="24"/>
          <w:lang w:val="en-US" w:eastAsia="zh-CN"/>
        </w:rPr>
        <w:t>9</w:t>
      </w:r>
      <w:r>
        <w:rPr>
          <w:rFonts w:hint="eastAsia" w:ascii="仿宋_GB2312" w:hAnsi="宋体" w:eastAsia="仿宋_GB2312"/>
          <w:bCs/>
          <w:sz w:val="24"/>
        </w:rPr>
        <w:t>.违约责任要求</w:t>
      </w:r>
    </w:p>
    <w:p w14:paraId="1C718E03">
      <w:pPr>
        <w:spacing w:line="360" w:lineRule="auto"/>
        <w:jc w:val="left"/>
        <w:rPr>
          <w:rFonts w:hint="eastAsia" w:ascii="仿宋_GB2312" w:eastAsia="仿宋_GB2312"/>
          <w:bCs/>
          <w:sz w:val="24"/>
          <w:lang w:val="en-US" w:eastAsia="zh-CN"/>
        </w:rPr>
      </w:pPr>
    </w:p>
    <w:p w14:paraId="2FD0E9F1">
      <w:pPr>
        <w:spacing w:line="360" w:lineRule="auto"/>
        <w:jc w:val="left"/>
        <w:rPr>
          <w:rFonts w:ascii="仿宋_GB2312" w:eastAsia="仿宋_GB2312"/>
          <w:bCs/>
          <w:sz w:val="24"/>
        </w:rPr>
      </w:pPr>
      <w:r>
        <w:rPr>
          <w:rFonts w:hint="eastAsia" w:ascii="仿宋_GB2312" w:eastAsia="仿宋_GB2312"/>
          <w:bCs/>
          <w:sz w:val="24"/>
          <w:lang w:val="en-US" w:eastAsia="zh-CN"/>
        </w:rPr>
        <w:t>10</w:t>
      </w:r>
      <w:r>
        <w:rPr>
          <w:rFonts w:hint="eastAsia" w:ascii="仿宋_GB2312" w:eastAsia="仿宋_GB2312"/>
          <w:bCs/>
          <w:sz w:val="24"/>
        </w:rPr>
        <w:t>.技术资料及移交</w:t>
      </w:r>
    </w:p>
    <w:p w14:paraId="2DC99EB4">
      <w:pPr>
        <w:spacing w:line="360" w:lineRule="auto"/>
        <w:ind w:firstLine="240" w:firstLineChars="100"/>
        <w:jc w:val="left"/>
        <w:rPr>
          <w:rFonts w:ascii="仿宋_GB2312" w:hAnsi="宋体" w:eastAsia="仿宋_GB2312"/>
          <w:bCs/>
          <w:sz w:val="24"/>
        </w:rPr>
      </w:pPr>
      <w:r>
        <w:rPr>
          <w:rFonts w:hint="eastAsia" w:ascii="仿宋_GB2312" w:hAnsi="宋体" w:eastAsia="仿宋_GB2312"/>
          <w:bCs/>
          <w:sz w:val="24"/>
        </w:rPr>
        <w:t>……</w:t>
      </w:r>
    </w:p>
    <w:p w14:paraId="0FFCD0C7">
      <w:pPr>
        <w:numPr>
          <w:ilvl w:val="0"/>
          <w:numId w:val="0"/>
        </w:numPr>
        <w:spacing w:line="360" w:lineRule="auto"/>
        <w:jc w:val="left"/>
        <w:rPr>
          <w:rFonts w:ascii="仿宋_GB2312" w:eastAsia="仿宋_GB2312"/>
          <w:bCs/>
          <w:sz w:val="24"/>
        </w:rPr>
      </w:pPr>
      <w:r>
        <w:rPr>
          <w:rFonts w:hint="eastAsia" w:ascii="仿宋_GB2312" w:hAnsi="宋体" w:eastAsia="仿宋_GB2312"/>
          <w:b/>
          <w:bCs w:val="0"/>
          <w:sz w:val="24"/>
          <w:lang w:val="en-US" w:eastAsia="zh-CN"/>
        </w:rPr>
        <w:t>六、</w:t>
      </w:r>
      <w:r>
        <w:rPr>
          <w:rFonts w:hint="eastAsia" w:ascii="仿宋_GB2312" w:hAnsi="宋体" w:eastAsia="仿宋_GB2312"/>
          <w:b/>
          <w:bCs w:val="0"/>
          <w:sz w:val="24"/>
        </w:rPr>
        <w:t>评标办法</w:t>
      </w:r>
      <w:r>
        <w:rPr>
          <w:rFonts w:hint="eastAsia" w:ascii="仿宋_GB2312" w:hAnsi="宋体" w:eastAsia="仿宋_GB2312"/>
          <w:bCs/>
          <w:color w:val="FF0000"/>
          <w:sz w:val="24"/>
        </w:rPr>
        <w:t>（请在以下两种评标方法中选其一即可，同时删除另一种评标办法）</w:t>
      </w:r>
    </w:p>
    <w:p w14:paraId="755E7D97">
      <w:pPr>
        <w:spacing w:line="360" w:lineRule="auto"/>
        <w:ind w:firstLine="480" w:firstLineChars="200"/>
        <w:jc w:val="left"/>
        <w:rPr>
          <w:rFonts w:ascii="仿宋_GB2312" w:hAnsi="宋体" w:eastAsia="仿宋_GB2312"/>
          <w:bCs/>
          <w:sz w:val="24"/>
        </w:rPr>
      </w:pPr>
      <w:r>
        <w:rPr>
          <w:rFonts w:hint="eastAsia" w:ascii="仿宋_GB2312" w:hAnsi="宋体" w:eastAsia="仿宋_GB2312"/>
          <w:bCs/>
          <w:sz w:val="24"/>
          <w:lang w:val="en-US" w:eastAsia="zh-CN"/>
        </w:rPr>
        <w:t>1.</w:t>
      </w:r>
      <w:r>
        <w:rPr>
          <w:rFonts w:hint="eastAsia" w:ascii="仿宋_GB2312" w:hAnsi="宋体" w:eastAsia="仿宋_GB2312"/>
          <w:bCs/>
          <w:sz w:val="24"/>
        </w:rPr>
        <w:t>最低评标价法。</w:t>
      </w:r>
    </w:p>
    <w:p w14:paraId="3F0A1253">
      <w:pPr>
        <w:spacing w:line="360" w:lineRule="auto"/>
        <w:ind w:firstLine="480" w:firstLineChars="200"/>
        <w:jc w:val="left"/>
        <w:rPr>
          <w:rFonts w:ascii="仿宋_GB2312" w:eastAsia="仿宋_GB2312" w:cs="宋体"/>
          <w:sz w:val="24"/>
        </w:rPr>
      </w:pPr>
      <w:r>
        <w:rPr>
          <w:rFonts w:hint="eastAsia" w:ascii="仿宋_GB2312" w:hAnsi="宋体" w:eastAsia="仿宋_GB2312"/>
          <w:bCs/>
          <w:sz w:val="24"/>
          <w:lang w:val="en-US" w:eastAsia="zh-CN"/>
        </w:rPr>
        <w:t>2.</w:t>
      </w:r>
      <w:r>
        <w:rPr>
          <w:rFonts w:hint="eastAsia" w:ascii="仿宋_GB2312" w:hAnsi="宋体" w:eastAsia="仿宋_GB2312"/>
          <w:bCs/>
          <w:sz w:val="24"/>
        </w:rPr>
        <w:t>综合评分法。</w:t>
      </w:r>
    </w:p>
    <w:p w14:paraId="5C7F985E">
      <w:pPr>
        <w:spacing w:line="360" w:lineRule="auto"/>
        <w:jc w:val="left"/>
        <w:rPr>
          <w:rFonts w:ascii="仿宋_GB2312" w:eastAsia="仿宋_GB2312"/>
          <w:b/>
          <w:bCs/>
          <w:color w:val="FF0000"/>
          <w:sz w:val="24"/>
        </w:rPr>
      </w:pPr>
      <w:r>
        <w:rPr>
          <w:rFonts w:hint="eastAsia" w:ascii="仿宋_GB2312" w:hAnsi="宋体" w:eastAsia="仿宋_GB2312"/>
          <w:b/>
          <w:bCs/>
          <w:color w:val="FF0000"/>
          <w:sz w:val="24"/>
        </w:rPr>
        <w:t>注：评标方法释义</w:t>
      </w:r>
    </w:p>
    <w:p w14:paraId="6ECA9933">
      <w:pPr>
        <w:spacing w:line="360" w:lineRule="auto"/>
        <w:ind w:firstLine="240" w:firstLineChars="100"/>
        <w:jc w:val="left"/>
        <w:rPr>
          <w:rFonts w:ascii="仿宋_GB2312" w:eastAsia="仿宋_GB2312"/>
          <w:bCs/>
          <w:color w:val="FF0000"/>
          <w:sz w:val="24"/>
        </w:rPr>
      </w:pPr>
      <w:r>
        <w:rPr>
          <w:rFonts w:hint="eastAsia" w:ascii="仿宋_GB2312" w:hAnsi="宋体" w:eastAsia="仿宋_GB2312"/>
          <w:bCs/>
          <w:color w:val="FF0000"/>
          <w:sz w:val="24"/>
        </w:rPr>
        <w:t>（1）最低评标价法：是指以价格为主要因素确定中标候选供应商的评标办法，即在全部满足招标文件实质性要求前提下，依据统一的价格要素评定最低报价，以提出最低报价的投标人作为中标候选供应商或者中标供应商的评标方法。</w:t>
      </w:r>
    </w:p>
    <w:p w14:paraId="4620F07F">
      <w:pPr>
        <w:spacing w:line="360" w:lineRule="auto"/>
        <w:ind w:firstLine="360" w:firstLineChars="150"/>
        <w:jc w:val="left"/>
        <w:rPr>
          <w:rFonts w:ascii="仿宋_GB2312" w:hAnsi="宋体" w:eastAsia="仿宋_GB2312"/>
          <w:bCs/>
          <w:color w:val="FF0000"/>
          <w:sz w:val="24"/>
        </w:rPr>
      </w:pPr>
      <w:r>
        <w:rPr>
          <w:rFonts w:hint="eastAsia" w:ascii="仿宋_GB2312" w:hAnsi="宋体" w:eastAsia="仿宋_GB2312"/>
          <w:bCs/>
          <w:color w:val="FF0000"/>
          <w:sz w:val="24"/>
        </w:rPr>
        <w:t>（2）综合评分法：是指在最大限度地满足招标文件实质性要求前提下，按照招标文件中规定的各项因素进行综合评审后，以评标总得分最高的投标人作为中标候选供应商或者中标供应商的评标方法。</w:t>
      </w:r>
    </w:p>
    <w:p w14:paraId="38CF6BAA">
      <w:pPr>
        <w:spacing w:line="360" w:lineRule="auto"/>
        <w:jc w:val="left"/>
        <w:rPr>
          <w:rFonts w:hint="eastAsia" w:ascii="仿宋_GB2312" w:hAnsi="宋体" w:eastAsia="仿宋_GB2312"/>
          <w:bCs/>
          <w:color w:val="FF0000"/>
          <w:sz w:val="28"/>
          <w:szCs w:val="28"/>
          <w:highlight w:val="yellow"/>
          <w:lang w:val="en-US" w:eastAsia="zh-CN"/>
        </w:rPr>
      </w:pPr>
      <w:r>
        <w:rPr>
          <w:rFonts w:hint="eastAsia" w:ascii="仿宋_GB2312" w:hAnsi="宋体" w:eastAsia="仿宋_GB2312"/>
          <w:b/>
          <w:bCs w:val="0"/>
          <w:color w:val="FF0000"/>
          <w:sz w:val="28"/>
          <w:szCs w:val="28"/>
          <w:highlight w:val="yellow"/>
          <w:lang w:val="en-US" w:eastAsia="zh-CN"/>
        </w:rPr>
        <w:t>政策要求：</w:t>
      </w:r>
    </w:p>
    <w:p w14:paraId="1C955D07">
      <w:pPr>
        <w:spacing w:line="360" w:lineRule="auto"/>
        <w:jc w:val="left"/>
        <w:rPr>
          <w:rFonts w:hint="eastAsia" w:ascii="仿宋_GB2312" w:hAnsi="宋体" w:eastAsia="仿宋_GB2312"/>
          <w:b/>
          <w:bCs w:val="0"/>
          <w:color w:val="FF0000"/>
          <w:sz w:val="32"/>
          <w:szCs w:val="32"/>
          <w:highlight w:val="yellow"/>
          <w:lang w:val="en-US" w:eastAsia="zh-CN"/>
        </w:rPr>
      </w:pPr>
      <w:r>
        <w:rPr>
          <w:rFonts w:hint="eastAsia" w:ascii="仿宋" w:hAnsi="仿宋" w:eastAsia="仿宋" w:cs="仿宋"/>
          <w:b/>
          <w:bCs w:val="0"/>
          <w:color w:val="FF0000"/>
          <w:sz w:val="32"/>
          <w:szCs w:val="32"/>
          <w:highlight w:val="yellow"/>
          <w:lang w:val="en-US" w:eastAsia="zh-CN"/>
        </w:rPr>
        <w:t>①</w:t>
      </w:r>
      <w:r>
        <w:rPr>
          <w:rFonts w:hint="default" w:ascii="仿宋_GB2312" w:hAnsi="宋体" w:eastAsia="仿宋_GB2312"/>
          <w:b/>
          <w:bCs w:val="0"/>
          <w:color w:val="FF0000"/>
          <w:sz w:val="32"/>
          <w:szCs w:val="32"/>
          <w:highlight w:val="yellow"/>
          <w:lang w:val="en-US" w:eastAsia="zh-CN"/>
        </w:rPr>
        <w:t>评审因素应当按照采购需求和与实现项目目标相关的其他因确定，应当与供应商提供货物服务的质量相关，包括报价、技术或者服务水平、履约能力、售后服务等，原则上以客观且可量化、细化的评审因素为主</w:t>
      </w:r>
      <w:r>
        <w:rPr>
          <w:rFonts w:hint="eastAsia" w:ascii="仿宋_GB2312" w:hAnsi="宋体" w:eastAsia="仿宋_GB2312"/>
          <w:b/>
          <w:bCs w:val="0"/>
          <w:color w:val="FF0000"/>
          <w:sz w:val="32"/>
          <w:szCs w:val="32"/>
          <w:highlight w:val="yellow"/>
          <w:lang w:val="en-US" w:eastAsia="zh-CN"/>
        </w:rPr>
        <w:t>。</w:t>
      </w:r>
    </w:p>
    <w:p w14:paraId="063013E0">
      <w:pPr>
        <w:spacing w:line="360" w:lineRule="auto"/>
        <w:jc w:val="left"/>
        <w:rPr>
          <w:rFonts w:hint="eastAsia" w:ascii="仿宋" w:hAnsi="仿宋" w:eastAsia="仿宋"/>
          <w:b/>
          <w:bCs/>
          <w:color w:val="FF0000"/>
          <w:sz w:val="32"/>
          <w:highlight w:val="yellow"/>
        </w:rPr>
      </w:pPr>
      <w:r>
        <w:rPr>
          <w:rFonts w:hint="eastAsia" w:ascii="仿宋" w:hAnsi="仿宋" w:eastAsia="仿宋" w:cs="仿宋"/>
          <w:b/>
          <w:bCs/>
          <w:color w:val="FF0000"/>
          <w:sz w:val="32"/>
          <w:highlight w:val="yellow"/>
        </w:rPr>
        <w:t>②</w:t>
      </w:r>
      <w:r>
        <w:rPr>
          <w:rFonts w:hint="eastAsia" w:ascii="仿宋" w:hAnsi="仿宋" w:eastAsia="仿宋"/>
          <w:b/>
          <w:bCs/>
          <w:color w:val="FF0000"/>
          <w:sz w:val="32"/>
          <w:highlight w:val="yellow"/>
        </w:rPr>
        <w:t>在“评标方法描述”栏填写的评审要求的阐述</w:t>
      </w:r>
      <w:r>
        <w:rPr>
          <w:rFonts w:hint="eastAsia" w:ascii="仿宋" w:hAnsi="仿宋" w:eastAsia="仿宋"/>
          <w:b/>
          <w:bCs/>
          <w:color w:val="FF0000"/>
          <w:sz w:val="32"/>
          <w:highlight w:val="yellow"/>
          <w:lang w:val="en-US" w:eastAsia="zh-CN"/>
        </w:rPr>
        <w:t>应</w:t>
      </w:r>
      <w:r>
        <w:rPr>
          <w:rFonts w:hint="eastAsia" w:ascii="仿宋" w:hAnsi="仿宋" w:eastAsia="仿宋"/>
          <w:b/>
          <w:bCs/>
          <w:color w:val="FF0000"/>
          <w:sz w:val="32"/>
          <w:highlight w:val="yellow"/>
        </w:rPr>
        <w:t>合理划分评审标准等次，每项评审因素不得少于 3个等次，明确每一等次的评审判断标准，努力实现主观评审因素的客观化，不得使用“优、良、中、差”等不具体、不明确的表述。</w:t>
      </w:r>
    </w:p>
    <w:p w14:paraId="03935239">
      <w:pPr>
        <w:spacing w:line="360" w:lineRule="auto"/>
        <w:jc w:val="left"/>
        <w:rPr>
          <w:rFonts w:hint="default" w:ascii="仿宋" w:hAnsi="仿宋" w:eastAsia="仿宋"/>
          <w:b/>
          <w:bCs/>
          <w:color w:val="FF0000"/>
          <w:sz w:val="32"/>
          <w:highlight w:val="yellow"/>
          <w:lang w:val="en-US" w:eastAsia="zh-CN"/>
        </w:rPr>
      </w:pPr>
      <w:r>
        <w:rPr>
          <w:rFonts w:hint="eastAsia" w:ascii="仿宋" w:hAnsi="仿宋" w:eastAsia="仿宋" w:cs="仿宋"/>
          <w:b/>
          <w:bCs/>
          <w:color w:val="FF0000"/>
          <w:sz w:val="32"/>
          <w:highlight w:val="yellow"/>
          <w:lang w:val="en-US" w:eastAsia="zh-CN"/>
        </w:rPr>
        <w:t>③</w:t>
      </w:r>
      <w:r>
        <w:rPr>
          <w:rFonts w:hint="default" w:ascii="仿宋" w:hAnsi="仿宋" w:eastAsia="仿宋"/>
          <w:b/>
          <w:bCs/>
          <w:color w:val="FF0000"/>
          <w:sz w:val="32"/>
          <w:highlight w:val="yellow"/>
          <w:lang w:val="en-US" w:eastAsia="zh-CN"/>
        </w:rPr>
        <w:t>项目主观评审因素分差原则上不得超过 3分。即所有主观评审因素完全满足与部分满足等次间的分差总计原则上不得超过 3分，例如：共 10个主观评审因素，分别设置完全满足、部分满足和不满足 3个等次，则每个评审因素完全满足与部分满足等次间的分差不超过 0.3分，总计不超过 3分；</w:t>
      </w:r>
    </w:p>
    <w:p w14:paraId="1C561630">
      <w:pPr>
        <w:pStyle w:val="9"/>
        <w:numPr>
          <w:ilvl w:val="0"/>
          <w:numId w:val="0"/>
        </w:numPr>
        <w:spacing w:line="360" w:lineRule="auto"/>
        <w:ind w:leftChars="0"/>
        <w:jc w:val="left"/>
        <w:rPr>
          <w:rFonts w:ascii="仿宋_GB2312" w:hAnsi="宋体" w:eastAsia="仿宋_GB2312"/>
          <w:bCs/>
          <w:color w:val="FF0000"/>
          <w:sz w:val="24"/>
        </w:rPr>
      </w:pPr>
      <w:r>
        <w:rPr>
          <w:rFonts w:hint="eastAsia" w:ascii="宋体" w:hAnsi="宋体"/>
          <w:bCs/>
          <w:color w:val="FF0000"/>
          <w:sz w:val="24"/>
        </w:rPr>
        <w:t>④</w:t>
      </w:r>
      <w:r>
        <w:rPr>
          <w:rFonts w:hint="eastAsia" w:ascii="仿宋_GB2312" w:hAnsi="宋体" w:eastAsia="仿宋_GB2312"/>
          <w:bCs/>
          <w:color w:val="FF0000"/>
          <w:sz w:val="24"/>
        </w:rPr>
        <w:t>价格分值占比</w:t>
      </w:r>
      <w:r>
        <w:rPr>
          <w:rFonts w:hint="eastAsia" w:ascii="仿宋" w:hAnsi="仿宋" w:eastAsia="仿宋"/>
          <w:bCs/>
          <w:color w:val="FF0000"/>
          <w:sz w:val="24"/>
        </w:rPr>
        <w:t>≥</w:t>
      </w:r>
      <w:r>
        <w:rPr>
          <w:rFonts w:ascii="仿宋_GB2312" w:hAnsi="宋体" w:eastAsia="仿宋_GB2312"/>
          <w:bCs/>
          <w:color w:val="FF0000"/>
          <w:sz w:val="24"/>
        </w:rPr>
        <w:t>2</w:t>
      </w:r>
      <w:r>
        <w:rPr>
          <w:rFonts w:hint="eastAsia" w:ascii="仿宋_GB2312" w:hAnsi="宋体" w:eastAsia="仿宋_GB2312"/>
          <w:bCs/>
          <w:color w:val="FF0000"/>
          <w:sz w:val="24"/>
        </w:rPr>
        <w:t>0%，商务分值占比建议</w:t>
      </w:r>
      <w:r>
        <w:rPr>
          <w:rFonts w:hint="eastAsia" w:ascii="仿宋" w:hAnsi="仿宋" w:eastAsia="仿宋"/>
          <w:bCs/>
          <w:color w:val="FF0000"/>
          <w:sz w:val="24"/>
        </w:rPr>
        <w:t>≤</w:t>
      </w:r>
      <w:r>
        <w:rPr>
          <w:rFonts w:hint="eastAsia" w:ascii="仿宋_GB2312" w:hAnsi="宋体" w:eastAsia="仿宋_GB2312"/>
          <w:bCs/>
          <w:color w:val="FF0000"/>
          <w:sz w:val="24"/>
        </w:rPr>
        <w:t>25%，剩余分值为技术分值，满分100分。</w:t>
      </w:r>
    </w:p>
    <w:p w14:paraId="3BB1DCD4">
      <w:pPr>
        <w:spacing w:line="360" w:lineRule="auto"/>
        <w:jc w:val="left"/>
        <w:rPr>
          <w:rFonts w:ascii="仿宋_GB2312" w:hAnsi="宋体" w:eastAsia="仿宋_GB2312"/>
          <w:bCs/>
          <w:color w:val="FF0000"/>
          <w:sz w:val="24"/>
          <w:highlight w:val="yellow"/>
        </w:rPr>
      </w:pPr>
      <w:r>
        <w:rPr>
          <w:rFonts w:hint="eastAsia" w:ascii="仿宋" w:hAnsi="仿宋" w:eastAsia="仿宋" w:cs="仿宋"/>
          <w:bCs/>
          <w:color w:val="FF0000"/>
          <w:sz w:val="24"/>
        </w:rPr>
        <w:t>⑤</w:t>
      </w:r>
      <w:r>
        <w:rPr>
          <w:rFonts w:hint="eastAsia" w:ascii="仿宋" w:hAnsi="仿宋" w:eastAsia="仿宋" w:cs="仿宋"/>
          <w:bCs/>
          <w:color w:val="FF0000"/>
          <w:sz w:val="24"/>
          <w:lang w:val="en-US" w:eastAsia="zh-CN"/>
        </w:rPr>
        <w:t>若有</w:t>
      </w:r>
      <w:r>
        <w:rPr>
          <w:rFonts w:hint="eastAsia" w:ascii="仿宋_GB2312" w:hAnsi="宋体" w:eastAsia="仿宋_GB2312"/>
          <w:bCs/>
          <w:color w:val="FF0000"/>
          <w:sz w:val="24"/>
        </w:rPr>
        <w:t>演示要求应写明演示某个产品的某项功能或技术参数，且此项功能或技术参数应在货物技术规格参数中列明。演示方式：采用自带设备现场演示或录制视频演示。演示时间：为保证项目评审合理有序开展，每位投标人应合理控制演示时间，原则上在</w:t>
      </w:r>
      <w:r>
        <w:rPr>
          <w:rFonts w:hint="eastAsia" w:ascii="仿宋_GB2312" w:hAnsi="宋体" w:eastAsia="仿宋_GB2312"/>
          <w:bCs/>
          <w:color w:val="FF0000"/>
          <w:sz w:val="24"/>
          <w:lang w:val="en-US" w:eastAsia="zh-CN"/>
        </w:rPr>
        <w:t>XX</w:t>
      </w:r>
      <w:r>
        <w:rPr>
          <w:rFonts w:hint="eastAsia" w:ascii="仿宋_GB2312" w:hAnsi="宋体" w:eastAsia="仿宋_GB2312"/>
          <w:bCs/>
          <w:color w:val="FF0000"/>
          <w:sz w:val="24"/>
        </w:rPr>
        <w:t>分钟内完成演示内容，</w:t>
      </w:r>
      <w:r>
        <w:rPr>
          <w:rFonts w:hint="eastAsia" w:ascii="仿宋_GB2312" w:hAnsi="宋体" w:eastAsia="仿宋_GB2312"/>
          <w:bCs/>
          <w:color w:val="FF0000"/>
          <w:sz w:val="24"/>
          <w:lang w:val="en-US" w:eastAsia="zh-CN"/>
        </w:rPr>
        <w:t>超过演示时间要求评委会将作出不利于投标人的判断</w:t>
      </w:r>
      <w:r>
        <w:rPr>
          <w:rFonts w:hint="eastAsia" w:ascii="仿宋_GB2312" w:hAnsi="宋体" w:eastAsia="仿宋_GB2312"/>
          <w:bCs/>
          <w:color w:val="FF0000"/>
          <w:sz w:val="24"/>
        </w:rPr>
        <w:t>。</w:t>
      </w:r>
      <w:r>
        <w:rPr>
          <w:rFonts w:hint="eastAsia" w:ascii="仿宋" w:hAnsi="仿宋" w:eastAsia="仿宋"/>
          <w:bCs/>
          <w:color w:val="FF0000"/>
          <w:sz w:val="24"/>
          <w:highlight w:val="yellow"/>
        </w:rPr>
        <w:t>产品</w:t>
      </w:r>
      <w:r>
        <w:rPr>
          <w:rFonts w:hint="eastAsia" w:ascii="仿宋_GB2312" w:hAnsi="宋体" w:eastAsia="仿宋_GB2312"/>
          <w:bCs/>
          <w:color w:val="FF0000"/>
          <w:sz w:val="24"/>
          <w:highlight w:val="yellow"/>
        </w:rPr>
        <w:t>演示非必须评分项，请根据实际需求设置</w:t>
      </w:r>
      <w:r>
        <w:rPr>
          <w:rFonts w:hint="eastAsia" w:ascii="仿宋" w:hAnsi="仿宋" w:eastAsia="仿宋"/>
          <w:bCs/>
          <w:color w:val="FF0000"/>
          <w:sz w:val="24"/>
          <w:highlight w:val="yellow"/>
        </w:rPr>
        <w:t>产品</w:t>
      </w:r>
      <w:r>
        <w:rPr>
          <w:rFonts w:hint="eastAsia" w:ascii="仿宋_GB2312" w:hAnsi="宋体" w:eastAsia="仿宋_GB2312"/>
          <w:bCs/>
          <w:color w:val="FF0000"/>
          <w:sz w:val="24"/>
          <w:highlight w:val="yellow"/>
        </w:rPr>
        <w:t>演示评分条款。</w:t>
      </w:r>
    </w:p>
    <w:p w14:paraId="056B8ED0">
      <w:pPr>
        <w:spacing w:line="360" w:lineRule="auto"/>
        <w:jc w:val="left"/>
        <w:rPr>
          <w:rFonts w:hint="eastAsia" w:ascii="仿宋" w:hAnsi="仿宋" w:eastAsia="仿宋" w:cs="仿宋"/>
          <w:b w:val="0"/>
          <w:bCs w:val="0"/>
          <w:color w:val="FF0000"/>
          <w:sz w:val="24"/>
          <w:szCs w:val="21"/>
          <w:highlight w:val="none"/>
          <w:lang w:val="en-US" w:eastAsia="zh-CN"/>
        </w:rPr>
      </w:pPr>
      <w:r>
        <w:rPr>
          <w:rFonts w:hint="eastAsia" w:ascii="仿宋" w:hAnsi="仿宋" w:eastAsia="仿宋" w:cs="仿宋"/>
          <w:b w:val="0"/>
          <w:bCs w:val="0"/>
          <w:color w:val="FF0000"/>
          <w:sz w:val="24"/>
          <w:szCs w:val="21"/>
          <w:highlight w:val="none"/>
        </w:rPr>
        <w:t>⑥</w:t>
      </w:r>
      <w:r>
        <w:rPr>
          <w:rFonts w:hint="eastAsia" w:ascii="仿宋" w:hAnsi="仿宋" w:eastAsia="仿宋" w:cs="仿宋"/>
          <w:b w:val="0"/>
          <w:bCs w:val="0"/>
          <w:color w:val="FF0000"/>
          <w:sz w:val="24"/>
          <w:szCs w:val="21"/>
          <w:highlight w:val="none"/>
          <w:lang w:val="en-US" w:eastAsia="zh-CN"/>
        </w:rPr>
        <w:t>各采购包可根据实际需求设置不同评分办法。</w:t>
      </w:r>
    </w:p>
    <w:p w14:paraId="6C89B518">
      <w:pPr>
        <w:spacing w:line="360" w:lineRule="auto"/>
        <w:jc w:val="left"/>
        <w:rPr>
          <w:rFonts w:ascii="仿宋_GB2312" w:hAnsi="宋体" w:eastAsia="仿宋_GB2312"/>
          <w:bCs/>
          <w:color w:val="FF0000"/>
          <w:sz w:val="24"/>
        </w:rPr>
      </w:pPr>
    </w:p>
    <w:p w14:paraId="517216A1">
      <w:pPr>
        <w:spacing w:line="360" w:lineRule="auto"/>
        <w:ind w:firstLine="643" w:firstLineChars="200"/>
        <w:jc w:val="left"/>
        <w:rPr>
          <w:rFonts w:ascii="仿宋_GB2312" w:hAnsi="宋体" w:eastAsia="仿宋_GB2312"/>
          <w:b/>
          <w:bCs/>
          <w:color w:val="FF0000"/>
          <w:sz w:val="32"/>
          <w:szCs w:val="30"/>
        </w:rPr>
      </w:pPr>
      <w:r>
        <w:rPr>
          <w:rFonts w:hint="eastAsia" w:ascii="仿宋_GB2312" w:hAnsi="宋体" w:eastAsia="仿宋_GB2312"/>
          <w:b/>
          <w:bCs/>
          <w:color w:val="FF0000"/>
          <w:sz w:val="32"/>
          <w:szCs w:val="30"/>
        </w:rPr>
        <w:t>综合评分参考样式：（注：以下评分分值、内容仅供参考，请据实采纳、调整、删除，切勿照搬）</w:t>
      </w:r>
    </w:p>
    <w:p w14:paraId="42B01065">
      <w:pPr>
        <w:spacing w:line="360" w:lineRule="auto"/>
        <w:jc w:val="left"/>
        <w:rPr>
          <w:rFonts w:ascii="仿宋_GB2312" w:hAnsi="宋体" w:eastAsia="仿宋_GB2312"/>
          <w:bCs/>
          <w:sz w:val="24"/>
        </w:rPr>
      </w:pPr>
      <w:r>
        <w:rPr>
          <w:rFonts w:hint="eastAsia" w:ascii="仿宋_GB2312" w:hAnsi="宋体" w:eastAsia="仿宋_GB2312"/>
          <w:bCs/>
          <w:sz w:val="24"/>
        </w:rPr>
        <w:t>一、技术部分（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20E8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28BB3E0F">
            <w:pPr>
              <w:spacing w:line="360" w:lineRule="auto"/>
              <w:jc w:val="left"/>
              <w:rPr>
                <w:rFonts w:ascii="仿宋_GB2312" w:hAnsi="宋体" w:eastAsia="仿宋_GB2312"/>
                <w:bCs/>
                <w:sz w:val="24"/>
              </w:rPr>
            </w:pPr>
            <w:r>
              <w:rPr>
                <w:rFonts w:hint="eastAsia" w:ascii="仿宋_GB2312" w:hAnsi="宋体" w:eastAsia="仿宋_GB2312"/>
                <w:bCs/>
                <w:sz w:val="24"/>
              </w:rPr>
              <w:t>评标项目</w:t>
            </w:r>
          </w:p>
        </w:tc>
        <w:tc>
          <w:tcPr>
            <w:tcW w:w="855" w:type="pct"/>
          </w:tcPr>
          <w:p w14:paraId="4C054FDA">
            <w:pPr>
              <w:spacing w:line="360" w:lineRule="auto"/>
              <w:jc w:val="left"/>
              <w:rPr>
                <w:rFonts w:ascii="仿宋_GB2312" w:hAnsi="宋体" w:eastAsia="仿宋_GB2312"/>
                <w:bCs/>
                <w:sz w:val="24"/>
              </w:rPr>
            </w:pPr>
            <w:r>
              <w:rPr>
                <w:rFonts w:hint="eastAsia" w:ascii="仿宋_GB2312" w:hAnsi="宋体" w:eastAsia="仿宋_GB2312"/>
                <w:bCs/>
                <w:sz w:val="24"/>
              </w:rPr>
              <w:t>评标分值</w:t>
            </w:r>
          </w:p>
        </w:tc>
        <w:tc>
          <w:tcPr>
            <w:tcW w:w="3390" w:type="pct"/>
          </w:tcPr>
          <w:p w14:paraId="3DAB00DD">
            <w:pPr>
              <w:spacing w:line="360" w:lineRule="auto"/>
              <w:jc w:val="left"/>
              <w:rPr>
                <w:rFonts w:ascii="仿宋_GB2312" w:hAnsi="宋体" w:eastAsia="仿宋_GB2312"/>
                <w:bCs/>
                <w:sz w:val="24"/>
              </w:rPr>
            </w:pPr>
            <w:r>
              <w:rPr>
                <w:rFonts w:hint="eastAsia" w:ascii="仿宋_GB2312" w:hAnsi="宋体" w:eastAsia="仿宋_GB2312"/>
                <w:bCs/>
                <w:sz w:val="24"/>
              </w:rPr>
              <w:t>评标方法描述</w:t>
            </w:r>
          </w:p>
        </w:tc>
      </w:tr>
      <w:tr w14:paraId="30FC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275275B">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服务内容响应情况</w:t>
            </w:r>
          </w:p>
        </w:tc>
        <w:tc>
          <w:tcPr>
            <w:tcW w:w="855" w:type="pct"/>
          </w:tcPr>
          <w:p w14:paraId="347F3CF1">
            <w:pPr>
              <w:spacing w:line="360" w:lineRule="auto"/>
              <w:jc w:val="left"/>
              <w:rPr>
                <w:rFonts w:ascii="仿宋_GB2312" w:hAnsi="宋体" w:eastAsia="仿宋_GB2312"/>
                <w:bCs/>
                <w:color w:val="FF0000"/>
                <w:sz w:val="24"/>
              </w:rPr>
            </w:pPr>
          </w:p>
        </w:tc>
        <w:tc>
          <w:tcPr>
            <w:tcW w:w="3390" w:type="pct"/>
          </w:tcPr>
          <w:p w14:paraId="2DB2D8B7">
            <w:pPr>
              <w:spacing w:line="360" w:lineRule="auto"/>
              <w:jc w:val="left"/>
              <w:rPr>
                <w:rFonts w:ascii="仿宋_GB2312" w:hAnsi="宋体" w:eastAsia="仿宋_GB2312"/>
                <w:bCs/>
                <w:color w:val="FF0000"/>
                <w:sz w:val="24"/>
              </w:rPr>
            </w:pPr>
            <w:r>
              <w:rPr>
                <w:rFonts w:hint="eastAsia" w:ascii="仿宋_GB2312" w:hAnsi="宋体" w:eastAsia="仿宋_GB2312"/>
                <w:bCs/>
                <w:sz w:val="24"/>
              </w:rPr>
              <w:t>根据各投标人对招标文件第五章的“技术和服务要求”</w:t>
            </w:r>
            <w:r>
              <w:rPr>
                <w:rFonts w:hint="eastAsia" w:ascii="仿宋_GB2312" w:hAnsi="宋体" w:eastAsia="仿宋_GB2312"/>
                <w:bCs/>
                <w:color w:val="000000" w:themeColor="text1"/>
                <w:sz w:val="24"/>
              </w:rPr>
              <w:t>第二条 “技术和服务要求”中“</w:t>
            </w:r>
            <w:r>
              <w:rPr>
                <w:rFonts w:hint="eastAsia" w:ascii="仿宋_GB2312" w:hAnsi="宋体" w:eastAsia="仿宋_GB2312"/>
                <w:bCs/>
                <w:color w:val="000000" w:themeColor="text1"/>
                <w:sz w:val="24"/>
                <w:lang w:eastAsia="zh-CN"/>
              </w:rPr>
              <w:t>采购包</w:t>
            </w:r>
            <w:r>
              <w:rPr>
                <w:rFonts w:hint="eastAsia" w:ascii="仿宋_GB2312" w:hAnsi="宋体" w:eastAsia="仿宋_GB2312"/>
                <w:bCs/>
                <w:color w:val="000000" w:themeColor="text1"/>
                <w:sz w:val="24"/>
              </w:rPr>
              <w:t>1”</w:t>
            </w:r>
            <w:r>
              <w:rPr>
                <w:rFonts w:hint="eastAsia" w:ascii="仿宋_GB2312" w:hAnsi="宋体" w:eastAsia="仿宋_GB2312"/>
                <w:bCs/>
                <w:sz w:val="24"/>
              </w:rPr>
              <w:t>的逐项响应承诺等方面情况进行评分，投标人全部满足招标文件要求的得</w:t>
            </w:r>
            <w:r>
              <w:rPr>
                <w:rFonts w:hint="eastAsia" w:ascii="仿宋_GB2312" w:hAnsi="宋体" w:eastAsia="仿宋_GB2312"/>
                <w:bCs/>
                <w:color w:val="FF0000"/>
                <w:sz w:val="24"/>
                <w:lang w:val="en-US" w:eastAsia="zh-CN"/>
              </w:rPr>
              <w:t>XX</w:t>
            </w:r>
            <w:r>
              <w:rPr>
                <w:rFonts w:hint="eastAsia" w:ascii="仿宋_GB2312" w:hAnsi="宋体" w:eastAsia="仿宋_GB2312"/>
                <w:bCs/>
                <w:sz w:val="24"/>
              </w:rPr>
              <w:t>分。</w:t>
            </w:r>
            <w:r>
              <w:rPr>
                <w:rFonts w:hint="eastAsia" w:ascii="仿宋_GB2312" w:hAnsi="宋体" w:eastAsia="仿宋_GB2312"/>
                <w:bCs/>
                <w:color w:val="FF0000"/>
                <w:sz w:val="24"/>
                <w:highlight w:val="yellow"/>
              </w:rPr>
              <w:t>（</w:t>
            </w:r>
            <w:r>
              <w:rPr>
                <w:rFonts w:hint="eastAsia" w:ascii="仿宋_GB2312" w:hAnsi="宋体" w:eastAsia="仿宋_GB2312"/>
                <w:bCs/>
                <w:color w:val="FF0000"/>
                <w:sz w:val="24"/>
                <w:highlight w:val="yellow"/>
                <w:u w:val="double"/>
              </w:rPr>
              <w:t>此项分值应按前文技术参数逐条量化后计算总分值</w:t>
            </w:r>
            <w:r>
              <w:rPr>
                <w:rFonts w:hint="eastAsia" w:ascii="仿宋_GB2312" w:hAnsi="宋体" w:eastAsia="仿宋_GB2312"/>
                <w:bCs/>
                <w:color w:val="FF0000"/>
                <w:sz w:val="24"/>
                <w:highlight w:val="yellow"/>
              </w:rPr>
              <w:t>，如前文技术参数共计</w:t>
            </w:r>
            <w:r>
              <w:rPr>
                <w:rFonts w:ascii="仿宋_GB2312" w:hAnsi="宋体" w:eastAsia="仿宋_GB2312"/>
                <w:bCs/>
                <w:color w:val="FF0000"/>
                <w:sz w:val="24"/>
                <w:highlight w:val="yellow"/>
              </w:rPr>
              <w:t>30</w:t>
            </w:r>
            <w:r>
              <w:rPr>
                <w:rFonts w:hint="eastAsia" w:ascii="仿宋_GB2312" w:hAnsi="宋体" w:eastAsia="仿宋_GB2312"/>
                <w:bCs/>
                <w:color w:val="FF0000"/>
                <w:sz w:val="24"/>
                <w:highlight w:val="yellow"/>
              </w:rPr>
              <w:t>项，每项1.</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分，总分即4</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w:t>
            </w:r>
          </w:p>
          <w:p w14:paraId="6FDE3478">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例1：标注“▲”号的技术参数（共X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分；未带“▲”号的技术参数，以每项服务为一个评分项（共X</w:t>
            </w:r>
            <w:r>
              <w:rPr>
                <w:rFonts w:ascii="仿宋_GB2312" w:hAnsi="宋体" w:eastAsia="仿宋_GB2312"/>
                <w:bCs/>
                <w:color w:val="FF0000"/>
                <w:sz w:val="24"/>
              </w:rPr>
              <w:t>X</w:t>
            </w:r>
            <w:r>
              <w:rPr>
                <w:rFonts w:hint="eastAsia" w:ascii="仿宋_GB2312" w:hAnsi="宋体" w:eastAsia="仿宋_GB2312"/>
                <w:bCs/>
                <w:color w:val="FF0000"/>
                <w:sz w:val="24"/>
              </w:rPr>
              <w:t>项），一项服务出现负偏离即扣</w:t>
            </w:r>
            <w:r>
              <w:rPr>
                <w:rFonts w:ascii="仿宋_GB2312" w:hAnsi="宋体" w:eastAsia="仿宋_GB2312"/>
                <w:bCs/>
                <w:color w:val="FF0000"/>
                <w:sz w:val="24"/>
              </w:rPr>
              <w:t>XX</w:t>
            </w:r>
            <w:r>
              <w:rPr>
                <w:rFonts w:hint="eastAsia" w:ascii="仿宋_GB2312" w:hAnsi="宋体" w:eastAsia="仿宋_GB2312"/>
                <w:bCs/>
                <w:color w:val="FF0000"/>
                <w:sz w:val="24"/>
              </w:rPr>
              <w:t>分。 或者以几条服务内容作为一个项号（共X</w:t>
            </w:r>
            <w:r>
              <w:rPr>
                <w:rFonts w:ascii="仿宋_GB2312" w:hAnsi="宋体" w:eastAsia="仿宋_GB2312"/>
                <w:bCs/>
                <w:color w:val="FF0000"/>
                <w:sz w:val="24"/>
              </w:rPr>
              <w:t>X</w:t>
            </w:r>
            <w:r>
              <w:rPr>
                <w:rFonts w:hint="eastAsia" w:ascii="仿宋_GB2312" w:hAnsi="宋体" w:eastAsia="仿宋_GB2312"/>
                <w:bCs/>
                <w:color w:val="FF0000"/>
                <w:sz w:val="24"/>
              </w:rPr>
              <w:t>项），每个项号出现负偏离即扣</w:t>
            </w:r>
            <w:r>
              <w:rPr>
                <w:rFonts w:ascii="仿宋_GB2312" w:hAnsi="宋体" w:eastAsia="仿宋_GB2312"/>
                <w:bCs/>
                <w:color w:val="FF0000"/>
                <w:sz w:val="24"/>
              </w:rPr>
              <w:t>XX</w:t>
            </w:r>
            <w:r>
              <w:rPr>
                <w:rFonts w:hint="eastAsia" w:ascii="仿宋_GB2312" w:hAnsi="宋体" w:eastAsia="仿宋_GB2312"/>
                <w:bCs/>
                <w:color w:val="FF0000"/>
                <w:sz w:val="24"/>
              </w:rPr>
              <w:t>分。或者所有服务内容（共计X</w:t>
            </w:r>
            <w:r>
              <w:rPr>
                <w:rFonts w:ascii="仿宋_GB2312" w:hAnsi="宋体" w:eastAsia="仿宋_GB2312"/>
                <w:bCs/>
                <w:color w:val="FF0000"/>
                <w:sz w:val="24"/>
              </w:rPr>
              <w:t>X</w:t>
            </w:r>
            <w:r>
              <w:rPr>
                <w:rFonts w:hint="eastAsia" w:ascii="仿宋_GB2312" w:hAnsi="宋体" w:eastAsia="仿宋_GB2312"/>
                <w:bCs/>
                <w:color w:val="FF0000"/>
                <w:sz w:val="24"/>
              </w:rPr>
              <w:t>条）每负偏离一条扣</w:t>
            </w:r>
            <w:r>
              <w:rPr>
                <w:rFonts w:ascii="仿宋_GB2312" w:hAnsi="宋体" w:eastAsia="仿宋_GB2312"/>
                <w:bCs/>
                <w:color w:val="FF0000"/>
                <w:sz w:val="24"/>
              </w:rPr>
              <w:t>XX</w:t>
            </w:r>
            <w:r>
              <w:rPr>
                <w:rFonts w:hint="eastAsia" w:ascii="仿宋_GB2312" w:hAnsi="宋体" w:eastAsia="仿宋_GB2312"/>
                <w:bCs/>
                <w:color w:val="FF0000"/>
                <w:sz w:val="24"/>
              </w:rPr>
              <w:t>分。或者序号X</w:t>
            </w:r>
            <w:r>
              <w:rPr>
                <w:rFonts w:ascii="仿宋_GB2312" w:hAnsi="宋体" w:eastAsia="仿宋_GB2312"/>
                <w:bCs/>
                <w:color w:val="FF0000"/>
                <w:sz w:val="24"/>
              </w:rPr>
              <w:t>X</w:t>
            </w:r>
            <w:r>
              <w:rPr>
                <w:rFonts w:hint="eastAsia" w:ascii="仿宋_GB2312" w:hAnsi="宋体" w:eastAsia="仿宋_GB2312"/>
                <w:bCs/>
                <w:color w:val="FF0000"/>
                <w:sz w:val="24"/>
              </w:rPr>
              <w:t>、序号X</w:t>
            </w:r>
            <w:r>
              <w:rPr>
                <w:rFonts w:ascii="仿宋_GB2312" w:hAnsi="宋体" w:eastAsia="仿宋_GB2312"/>
                <w:bCs/>
                <w:color w:val="FF0000"/>
                <w:sz w:val="24"/>
              </w:rPr>
              <w:t>X</w:t>
            </w:r>
            <w:r>
              <w:rPr>
                <w:rFonts w:hint="eastAsia" w:ascii="仿宋_GB2312" w:hAnsi="宋体" w:eastAsia="仿宋_GB2312"/>
                <w:bCs/>
                <w:color w:val="FF0000"/>
                <w:sz w:val="24"/>
              </w:rPr>
              <w:t>等服务内容以每项服务内容为一个评分项，一项服务内容出现负偏离即扣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分（分值相对高），其余序号服务内容以每项服务内容为一个评分项，一项服务内容出现负偏离即扣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分（分值相对低）。</w:t>
            </w:r>
          </w:p>
          <w:p w14:paraId="7CC29A9B">
            <w:pPr>
              <w:spacing w:line="360" w:lineRule="auto"/>
              <w:jc w:val="left"/>
              <w:rPr>
                <w:rFonts w:ascii="仿宋_GB2312" w:hAnsi="宋体" w:eastAsia="仿宋_GB2312"/>
                <w:bCs/>
                <w:color w:val="FF0000"/>
                <w:sz w:val="24"/>
              </w:rPr>
            </w:pPr>
          </w:p>
          <w:p w14:paraId="69DD0245">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例2：技术参数每负偏离一项扣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1475072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例3：标注“★”号的技术参数为重要指标，不允许负偏离，否则视为无效投标。未标注“★”号的技术参数每负偏离一项扣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6DFD7276">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例4：标注“★”号的技术参数为重要指标（X</w:t>
            </w:r>
            <w:r>
              <w:rPr>
                <w:rFonts w:ascii="仿宋_GB2312" w:hAnsi="宋体" w:eastAsia="仿宋_GB2312"/>
                <w:bCs/>
                <w:color w:val="FF0000"/>
                <w:sz w:val="24"/>
              </w:rPr>
              <w:t>X</w:t>
            </w:r>
            <w:r>
              <w:rPr>
                <w:rFonts w:hint="eastAsia" w:ascii="仿宋_GB2312" w:hAnsi="宋体" w:eastAsia="仿宋_GB2312"/>
                <w:bCs/>
                <w:color w:val="FF0000"/>
                <w:sz w:val="24"/>
              </w:rPr>
              <w:t>项），不允许负偏离，否则视为无效投标。标注“▲”号的技术参数（X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7464E993">
            <w:pPr>
              <w:spacing w:line="360" w:lineRule="auto"/>
              <w:jc w:val="left"/>
              <w:rPr>
                <w:rFonts w:ascii="仿宋_GB2312" w:hAnsi="宋体" w:eastAsia="仿宋_GB2312"/>
                <w:bCs/>
                <w:color w:val="FF0000"/>
                <w:sz w:val="24"/>
              </w:rPr>
            </w:pPr>
          </w:p>
        </w:tc>
      </w:tr>
      <w:tr w14:paraId="2696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33A5319">
            <w:pPr>
              <w:spacing w:line="360" w:lineRule="auto"/>
              <w:jc w:val="left"/>
              <w:rPr>
                <w:rFonts w:hint="eastAsia" w:ascii="仿宋_GB2312" w:hAnsi="宋体" w:eastAsia="仿宋_GB2312"/>
                <w:bCs/>
                <w:color w:val="FF0000"/>
                <w:sz w:val="24"/>
                <w:lang w:eastAsia="zh-CN"/>
              </w:rPr>
            </w:pPr>
          </w:p>
        </w:tc>
        <w:tc>
          <w:tcPr>
            <w:tcW w:w="855" w:type="pct"/>
          </w:tcPr>
          <w:p w14:paraId="1375D2CC">
            <w:pPr>
              <w:spacing w:line="360" w:lineRule="auto"/>
              <w:jc w:val="left"/>
              <w:rPr>
                <w:rFonts w:ascii="仿宋_GB2312" w:hAnsi="宋体" w:eastAsia="仿宋_GB2312"/>
                <w:bCs/>
                <w:color w:val="FF0000"/>
                <w:sz w:val="24"/>
              </w:rPr>
            </w:pPr>
          </w:p>
        </w:tc>
        <w:tc>
          <w:tcPr>
            <w:tcW w:w="3390" w:type="pct"/>
          </w:tcPr>
          <w:p w14:paraId="4602B4FF">
            <w:pPr>
              <w:spacing w:line="360" w:lineRule="auto"/>
              <w:jc w:val="left"/>
              <w:rPr>
                <w:rFonts w:ascii="仿宋_GB2312" w:hAnsi="宋体" w:eastAsia="仿宋_GB2312"/>
                <w:bCs/>
                <w:color w:val="FF0000"/>
                <w:sz w:val="24"/>
              </w:rPr>
            </w:pPr>
          </w:p>
        </w:tc>
      </w:tr>
      <w:tr w14:paraId="2F8ED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E2A4879">
            <w:pPr>
              <w:spacing w:line="360" w:lineRule="auto"/>
              <w:jc w:val="left"/>
              <w:rPr>
                <w:rFonts w:ascii="仿宋_GB2312" w:hAnsi="宋体" w:eastAsia="仿宋_GB2312"/>
                <w:bCs/>
                <w:sz w:val="24"/>
              </w:rPr>
            </w:pPr>
            <w:r>
              <w:rPr>
                <w:rFonts w:ascii="仿宋_GB2312" w:hAnsi="宋体" w:eastAsia="仿宋_GB2312"/>
                <w:bCs/>
                <w:sz w:val="24"/>
              </w:rPr>
              <w:t>……</w:t>
            </w:r>
          </w:p>
        </w:tc>
        <w:tc>
          <w:tcPr>
            <w:tcW w:w="855" w:type="pct"/>
          </w:tcPr>
          <w:p w14:paraId="1A8785BF">
            <w:pPr>
              <w:spacing w:line="360" w:lineRule="auto"/>
              <w:jc w:val="left"/>
              <w:rPr>
                <w:rFonts w:ascii="仿宋_GB2312" w:hAnsi="宋体" w:eastAsia="仿宋_GB2312"/>
                <w:bCs/>
                <w:sz w:val="24"/>
              </w:rPr>
            </w:pPr>
          </w:p>
        </w:tc>
        <w:tc>
          <w:tcPr>
            <w:tcW w:w="3390" w:type="pct"/>
          </w:tcPr>
          <w:p w14:paraId="6FCB68D0">
            <w:pPr>
              <w:spacing w:line="360" w:lineRule="auto"/>
              <w:jc w:val="left"/>
              <w:rPr>
                <w:rFonts w:ascii="仿宋_GB2312" w:hAnsi="宋体" w:eastAsia="仿宋_GB2312"/>
                <w:bCs/>
                <w:sz w:val="24"/>
              </w:rPr>
            </w:pPr>
          </w:p>
        </w:tc>
      </w:tr>
    </w:tbl>
    <w:p w14:paraId="7D20BD47">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二、商务部分（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7FF29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C75CF98">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评标项目</w:t>
            </w:r>
          </w:p>
        </w:tc>
        <w:tc>
          <w:tcPr>
            <w:tcW w:w="855" w:type="pct"/>
          </w:tcPr>
          <w:p w14:paraId="059B8AFF">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评标分值</w:t>
            </w:r>
          </w:p>
        </w:tc>
        <w:tc>
          <w:tcPr>
            <w:tcW w:w="3390" w:type="pct"/>
          </w:tcPr>
          <w:p w14:paraId="349CA87D">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评标方法描述</w:t>
            </w:r>
          </w:p>
        </w:tc>
      </w:tr>
      <w:tr w14:paraId="6EBD1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00183057">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业绩</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5BEBDF7A">
            <w:pPr>
              <w:spacing w:line="360" w:lineRule="auto"/>
              <w:jc w:val="left"/>
              <w:rPr>
                <w:rFonts w:ascii="仿宋_GB2312" w:hAnsi="宋体" w:eastAsia="仿宋_GB2312"/>
                <w:bCs/>
                <w:color w:val="FF0000"/>
                <w:sz w:val="24"/>
              </w:rPr>
            </w:pPr>
          </w:p>
        </w:tc>
        <w:tc>
          <w:tcPr>
            <w:tcW w:w="3390" w:type="pct"/>
          </w:tcPr>
          <w:p w14:paraId="1779FB3F">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根据投标人提供的自20XX年以来（以合同</w:t>
            </w:r>
            <w:r>
              <w:rPr>
                <w:rFonts w:hint="eastAsia" w:ascii="仿宋_GB2312" w:hAnsi="宋体" w:eastAsia="仿宋_GB2312"/>
                <w:bCs/>
                <w:color w:val="FF0000"/>
                <w:sz w:val="24"/>
                <w:lang w:val="en-US" w:eastAsia="zh-CN"/>
              </w:rPr>
              <w:t>或</w:t>
            </w:r>
            <w:r>
              <w:rPr>
                <w:rFonts w:hint="eastAsia" w:ascii="仿宋_GB2312" w:hAnsi="宋体" w:eastAsia="仿宋_GB2312"/>
                <w:bCs/>
                <w:color w:val="FF0000"/>
                <w:sz w:val="24"/>
              </w:rPr>
              <w:t>验收签订时间为准</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请选一种</w:t>
            </w:r>
            <w:r>
              <w:rPr>
                <w:rFonts w:hint="eastAsia" w:ascii="仿宋_GB2312" w:hAnsi="宋体" w:eastAsia="仿宋_GB2312"/>
                <w:bCs/>
                <w:color w:val="FF0000"/>
                <w:sz w:val="24"/>
              </w:rPr>
              <w:t xml:space="preserve">）承接过同类项目的业绩情况进行评议，每提供一份业绩得1分，满分3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 </w:t>
            </w:r>
          </w:p>
        </w:tc>
      </w:tr>
      <w:tr w14:paraId="292A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C63369D">
            <w:pPr>
              <w:spacing w:line="360" w:lineRule="auto"/>
              <w:jc w:val="left"/>
              <w:rPr>
                <w:rFonts w:ascii="仿宋_GB2312" w:hAnsi="宋体" w:eastAsia="仿宋_GB2312"/>
                <w:bCs/>
                <w:color w:val="FF0000"/>
                <w:sz w:val="24"/>
              </w:rPr>
            </w:pPr>
          </w:p>
        </w:tc>
        <w:tc>
          <w:tcPr>
            <w:tcW w:w="855" w:type="pct"/>
          </w:tcPr>
          <w:p w14:paraId="1FBF3427">
            <w:pPr>
              <w:spacing w:line="360" w:lineRule="auto"/>
              <w:jc w:val="left"/>
              <w:rPr>
                <w:rFonts w:ascii="仿宋_GB2312" w:hAnsi="宋体" w:eastAsia="仿宋_GB2312"/>
                <w:bCs/>
                <w:color w:val="FF0000"/>
                <w:sz w:val="24"/>
              </w:rPr>
            </w:pPr>
          </w:p>
        </w:tc>
        <w:tc>
          <w:tcPr>
            <w:tcW w:w="3390" w:type="pct"/>
          </w:tcPr>
          <w:p w14:paraId="243DADB5">
            <w:pPr>
              <w:spacing w:line="360" w:lineRule="auto"/>
              <w:jc w:val="left"/>
              <w:rPr>
                <w:rFonts w:ascii="仿宋_GB2312" w:hAnsi="宋体" w:eastAsia="仿宋_GB2312"/>
                <w:bCs/>
                <w:color w:val="FF0000"/>
                <w:sz w:val="24"/>
              </w:rPr>
            </w:pPr>
          </w:p>
        </w:tc>
      </w:tr>
      <w:tr w14:paraId="25EB1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485B5954">
            <w:pPr>
              <w:spacing w:line="360" w:lineRule="auto"/>
              <w:jc w:val="left"/>
              <w:rPr>
                <w:rFonts w:ascii="仿宋_GB2312" w:hAnsi="宋体" w:eastAsia="仿宋_GB2312"/>
                <w:bCs/>
                <w:color w:val="FF0000"/>
                <w:sz w:val="24"/>
              </w:rPr>
            </w:pPr>
          </w:p>
        </w:tc>
        <w:tc>
          <w:tcPr>
            <w:tcW w:w="855" w:type="pct"/>
          </w:tcPr>
          <w:p w14:paraId="126F9961">
            <w:pPr>
              <w:spacing w:line="360" w:lineRule="auto"/>
              <w:jc w:val="left"/>
              <w:rPr>
                <w:rFonts w:hint="eastAsia" w:ascii="仿宋_GB2312" w:hAnsi="宋体" w:eastAsia="仿宋_GB2312"/>
                <w:bCs/>
                <w:color w:val="FF0000"/>
                <w:sz w:val="24"/>
                <w:lang w:eastAsia="zh-CN"/>
              </w:rPr>
            </w:pPr>
          </w:p>
        </w:tc>
        <w:tc>
          <w:tcPr>
            <w:tcW w:w="3390" w:type="pct"/>
          </w:tcPr>
          <w:p w14:paraId="2023239F">
            <w:pPr>
              <w:spacing w:line="360" w:lineRule="auto"/>
              <w:jc w:val="left"/>
              <w:rPr>
                <w:rFonts w:ascii="仿宋_GB2312" w:hAnsi="宋体" w:eastAsia="仿宋_GB2312"/>
                <w:bCs/>
                <w:color w:val="FF0000"/>
                <w:sz w:val="24"/>
              </w:rPr>
            </w:pPr>
          </w:p>
          <w:p w14:paraId="6DFF5AAA">
            <w:pPr>
              <w:spacing w:line="360" w:lineRule="auto"/>
              <w:jc w:val="left"/>
              <w:rPr>
                <w:rFonts w:ascii="仿宋_GB2312" w:hAnsi="宋体" w:eastAsia="仿宋_GB2312"/>
                <w:bCs/>
                <w:color w:val="FF0000"/>
                <w:sz w:val="24"/>
              </w:rPr>
            </w:pPr>
            <w:r>
              <w:rPr>
                <w:rFonts w:hint="eastAsia" w:ascii="仿宋_GB2312" w:hAnsi="宋体" w:eastAsia="仿宋_GB2312"/>
                <w:bCs/>
                <w:color w:val="FF0000"/>
                <w:kern w:val="0"/>
                <w:sz w:val="24"/>
                <w:highlight w:val="yellow"/>
              </w:rPr>
              <w:t>采购需求部门也可根据自身实际情况量化客观评分要求，自行拟定评分要求。</w:t>
            </w:r>
          </w:p>
        </w:tc>
      </w:tr>
      <w:tr w14:paraId="68055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BD7AC7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w:t>
            </w:r>
          </w:p>
        </w:tc>
        <w:tc>
          <w:tcPr>
            <w:tcW w:w="855" w:type="pct"/>
          </w:tcPr>
          <w:p w14:paraId="24CE33E4">
            <w:pPr>
              <w:spacing w:line="360" w:lineRule="auto"/>
              <w:jc w:val="left"/>
              <w:rPr>
                <w:rFonts w:ascii="仿宋_GB2312" w:hAnsi="宋体" w:eastAsia="仿宋_GB2312"/>
                <w:bCs/>
                <w:color w:val="FF0000"/>
                <w:sz w:val="24"/>
              </w:rPr>
            </w:pPr>
          </w:p>
        </w:tc>
        <w:tc>
          <w:tcPr>
            <w:tcW w:w="3390" w:type="pct"/>
          </w:tcPr>
          <w:p w14:paraId="6B770A08">
            <w:pPr>
              <w:spacing w:line="360" w:lineRule="auto"/>
              <w:jc w:val="left"/>
              <w:rPr>
                <w:rFonts w:ascii="仿宋_GB2312" w:hAnsi="宋体" w:eastAsia="仿宋_GB2312"/>
                <w:bCs/>
                <w:color w:val="FF0000"/>
                <w:sz w:val="24"/>
              </w:rPr>
            </w:pPr>
          </w:p>
        </w:tc>
      </w:tr>
    </w:tbl>
    <w:p w14:paraId="1797DE53">
      <w:pPr>
        <w:spacing w:line="360" w:lineRule="auto"/>
        <w:jc w:val="left"/>
        <w:rPr>
          <w:rFonts w:ascii="仿宋_GB2312" w:hAnsi="宋体" w:eastAsia="仿宋_GB2312"/>
          <w:bCs/>
          <w:sz w:val="24"/>
        </w:rPr>
      </w:pPr>
      <w:r>
        <w:rPr>
          <w:rFonts w:hint="eastAsia" w:ascii="仿宋_GB2312" w:hAnsi="宋体" w:eastAsia="仿宋_GB2312"/>
          <w:bCs/>
          <w:sz w:val="24"/>
        </w:rPr>
        <w:t>三、价格部分（  分）</w:t>
      </w:r>
    </w:p>
    <w:p w14:paraId="791B9DBE">
      <w:pPr>
        <w:spacing w:line="360" w:lineRule="auto"/>
        <w:jc w:val="left"/>
        <w:rPr>
          <w:rFonts w:ascii="仿宋_GB2312" w:hAnsi="宋体" w:eastAsia="仿宋_GB2312"/>
          <w:bCs/>
          <w:sz w:val="24"/>
        </w:rPr>
      </w:pPr>
    </w:p>
    <w:p w14:paraId="6426BAF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注：定稿采购方案请以命名为“部门名称+项目名称简写+采购方案”的电子文档发送至fjjyzbzx@126.com。</w:t>
      </w:r>
    </w:p>
    <w:p w14:paraId="103860A1">
      <w:pPr>
        <w:spacing w:line="360" w:lineRule="auto"/>
        <w:ind w:firstLine="360" w:firstLineChars="150"/>
        <w:jc w:val="left"/>
        <w:rPr>
          <w:rFonts w:ascii="仿宋_GB2312" w:eastAsia="仿宋_GB2312"/>
          <w:bCs/>
          <w:sz w:val="24"/>
        </w:rPr>
      </w:pPr>
    </w:p>
    <w:p w14:paraId="12A5325E">
      <w:pPr>
        <w:spacing w:line="360" w:lineRule="auto"/>
        <w:ind w:firstLine="3960" w:firstLineChars="1650"/>
        <w:jc w:val="left"/>
        <w:rPr>
          <w:rFonts w:ascii="仿宋_GB2312" w:hAnsi="宋体" w:eastAsia="仿宋_GB2312"/>
          <w:bCs/>
          <w:sz w:val="24"/>
        </w:rPr>
      </w:pPr>
      <w:r>
        <w:rPr>
          <w:rFonts w:hint="eastAsia" w:ascii="仿宋_GB2312" w:hAnsi="宋体" w:eastAsia="仿宋_GB2312"/>
          <w:bCs/>
          <w:sz w:val="24"/>
        </w:rPr>
        <w:t>申报部门负责人：</w:t>
      </w:r>
    </w:p>
    <w:p w14:paraId="57F92BED">
      <w:pPr>
        <w:spacing w:line="360" w:lineRule="auto"/>
        <w:ind w:right="960" w:firstLine="3840" w:firstLineChars="1600"/>
        <w:rPr>
          <w:rFonts w:ascii="仿宋_GB2312" w:hAnsi="宋体" w:eastAsia="仿宋_GB2312"/>
          <w:bCs/>
          <w:sz w:val="24"/>
        </w:rPr>
      </w:pPr>
      <w:r>
        <w:rPr>
          <w:rFonts w:hint="eastAsia" w:ascii="仿宋_GB2312" w:hAnsi="宋体" w:eastAsia="仿宋_GB2312"/>
          <w:bCs/>
          <w:sz w:val="24"/>
        </w:rPr>
        <w:t>申报部门（盖章）：</w:t>
      </w:r>
    </w:p>
    <w:p w14:paraId="5C761AB6">
      <w:pPr>
        <w:spacing w:line="360" w:lineRule="auto"/>
        <w:ind w:right="840"/>
        <w:jc w:val="right"/>
        <w:rPr>
          <w:rFonts w:ascii="仿宋_GB2312" w:eastAsia="仿宋_GB2312"/>
          <w:bCs/>
          <w:sz w:val="24"/>
        </w:rPr>
      </w:pPr>
      <w:r>
        <w:rPr>
          <w:rFonts w:hint="eastAsia" w:ascii="仿宋_GB2312" w:hAnsi="宋体" w:eastAsia="仿宋_GB2312"/>
          <w:bCs/>
          <w:sz w:val="24"/>
        </w:rPr>
        <w:t>年  月  日</w:t>
      </w:r>
    </w:p>
    <w:p w14:paraId="05AAD872"/>
    <w:sectPr>
      <w:footerReference r:id="rId3" w:type="default"/>
      <w:pgSz w:w="11906" w:h="16838"/>
      <w:pgMar w:top="1021" w:right="1247" w:bottom="90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217203"/>
      <w:docPartObj>
        <w:docPartGallery w:val="autotext"/>
      </w:docPartObj>
    </w:sdtPr>
    <w:sdtContent>
      <w:p w14:paraId="33F2FE5A">
        <w:pPr>
          <w:pStyle w:val="2"/>
          <w:jc w:val="center"/>
        </w:pPr>
        <w:r>
          <w:fldChar w:fldCharType="begin"/>
        </w:r>
        <w:r>
          <w:instrText xml:space="preserve">PAGE   \* MERGEFORMAT</w:instrText>
        </w:r>
        <w:r>
          <w:fldChar w:fldCharType="separate"/>
        </w:r>
        <w:r>
          <w:rPr>
            <w:lang w:val="zh-CN"/>
          </w:rPr>
          <w:t>1</w:t>
        </w:r>
        <w:r>
          <w:fldChar w:fldCharType="end"/>
        </w:r>
      </w:p>
    </w:sdtContent>
  </w:sdt>
  <w:p w14:paraId="3CF6C8F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4YWU2ODNiNzFiODQyMTM0ZjYwODgyM2JiMDJjMTgifQ=="/>
    <w:docVar w:name="KSO_WPS_MARK_KEY" w:val="ea9a4b1c-dd04-44f7-be20-92a416e51915"/>
  </w:docVars>
  <w:rsids>
    <w:rsidRoot w:val="009D0B97"/>
    <w:rsid w:val="00067FBA"/>
    <w:rsid w:val="00074F5D"/>
    <w:rsid w:val="000C5D7B"/>
    <w:rsid w:val="000D48A7"/>
    <w:rsid w:val="000E0501"/>
    <w:rsid w:val="000E0C62"/>
    <w:rsid w:val="000F3FD5"/>
    <w:rsid w:val="00102481"/>
    <w:rsid w:val="00110D2A"/>
    <w:rsid w:val="00113F81"/>
    <w:rsid w:val="001258CC"/>
    <w:rsid w:val="00165CD6"/>
    <w:rsid w:val="00184F5D"/>
    <w:rsid w:val="00190525"/>
    <w:rsid w:val="001A2FE8"/>
    <w:rsid w:val="001F091B"/>
    <w:rsid w:val="001F55D1"/>
    <w:rsid w:val="0020002B"/>
    <w:rsid w:val="002227C3"/>
    <w:rsid w:val="00222FF2"/>
    <w:rsid w:val="002303A3"/>
    <w:rsid w:val="00242DFA"/>
    <w:rsid w:val="002562AC"/>
    <w:rsid w:val="002617FD"/>
    <w:rsid w:val="00272BE8"/>
    <w:rsid w:val="00275D5A"/>
    <w:rsid w:val="00275DBF"/>
    <w:rsid w:val="0027791B"/>
    <w:rsid w:val="002B4520"/>
    <w:rsid w:val="002B75AA"/>
    <w:rsid w:val="002C274F"/>
    <w:rsid w:val="00310EBC"/>
    <w:rsid w:val="00342340"/>
    <w:rsid w:val="003A245B"/>
    <w:rsid w:val="003A4B6A"/>
    <w:rsid w:val="003A7E93"/>
    <w:rsid w:val="003C5057"/>
    <w:rsid w:val="00403A66"/>
    <w:rsid w:val="00404D41"/>
    <w:rsid w:val="0045154D"/>
    <w:rsid w:val="00452174"/>
    <w:rsid w:val="00464E85"/>
    <w:rsid w:val="00467EDC"/>
    <w:rsid w:val="00494996"/>
    <w:rsid w:val="00505A37"/>
    <w:rsid w:val="00510172"/>
    <w:rsid w:val="00514CB7"/>
    <w:rsid w:val="005324E1"/>
    <w:rsid w:val="005355A5"/>
    <w:rsid w:val="00562CCF"/>
    <w:rsid w:val="005A6836"/>
    <w:rsid w:val="005C24B1"/>
    <w:rsid w:val="005D1BB7"/>
    <w:rsid w:val="005D6B90"/>
    <w:rsid w:val="005D7D19"/>
    <w:rsid w:val="006024A2"/>
    <w:rsid w:val="006807F2"/>
    <w:rsid w:val="006E0278"/>
    <w:rsid w:val="006E29CD"/>
    <w:rsid w:val="00726E36"/>
    <w:rsid w:val="0073057C"/>
    <w:rsid w:val="00743481"/>
    <w:rsid w:val="00775053"/>
    <w:rsid w:val="007B32AB"/>
    <w:rsid w:val="007C0A03"/>
    <w:rsid w:val="007C18FA"/>
    <w:rsid w:val="008348B4"/>
    <w:rsid w:val="00856439"/>
    <w:rsid w:val="00890951"/>
    <w:rsid w:val="008F3201"/>
    <w:rsid w:val="009053D9"/>
    <w:rsid w:val="0091053C"/>
    <w:rsid w:val="00932048"/>
    <w:rsid w:val="009726EA"/>
    <w:rsid w:val="009A571B"/>
    <w:rsid w:val="009C75A4"/>
    <w:rsid w:val="009D0B97"/>
    <w:rsid w:val="009F5990"/>
    <w:rsid w:val="00A012B3"/>
    <w:rsid w:val="00A10EC3"/>
    <w:rsid w:val="00A52CA5"/>
    <w:rsid w:val="00A57AE6"/>
    <w:rsid w:val="00A6553C"/>
    <w:rsid w:val="00A713E4"/>
    <w:rsid w:val="00A751AD"/>
    <w:rsid w:val="00A80835"/>
    <w:rsid w:val="00AA0BDF"/>
    <w:rsid w:val="00AC7237"/>
    <w:rsid w:val="00B10AF4"/>
    <w:rsid w:val="00B25C28"/>
    <w:rsid w:val="00B33170"/>
    <w:rsid w:val="00B50220"/>
    <w:rsid w:val="00B56883"/>
    <w:rsid w:val="00B77117"/>
    <w:rsid w:val="00BC12C8"/>
    <w:rsid w:val="00BE690E"/>
    <w:rsid w:val="00C00239"/>
    <w:rsid w:val="00C17BD1"/>
    <w:rsid w:val="00C20D11"/>
    <w:rsid w:val="00C67EFB"/>
    <w:rsid w:val="00C852F2"/>
    <w:rsid w:val="00CB0EE1"/>
    <w:rsid w:val="00CC2709"/>
    <w:rsid w:val="00CE3B6B"/>
    <w:rsid w:val="00CF0E5C"/>
    <w:rsid w:val="00D072E1"/>
    <w:rsid w:val="00D40797"/>
    <w:rsid w:val="00D50137"/>
    <w:rsid w:val="00D66829"/>
    <w:rsid w:val="00D75F9B"/>
    <w:rsid w:val="00D92D8E"/>
    <w:rsid w:val="00DC5F55"/>
    <w:rsid w:val="00DD58D9"/>
    <w:rsid w:val="00DF7B1B"/>
    <w:rsid w:val="00E06186"/>
    <w:rsid w:val="00E10B23"/>
    <w:rsid w:val="00E11E1F"/>
    <w:rsid w:val="00E308A3"/>
    <w:rsid w:val="00E30B17"/>
    <w:rsid w:val="00E75AD5"/>
    <w:rsid w:val="00E83D96"/>
    <w:rsid w:val="00EA1FE4"/>
    <w:rsid w:val="00EB51DB"/>
    <w:rsid w:val="00F04440"/>
    <w:rsid w:val="00F76203"/>
    <w:rsid w:val="00FE5442"/>
    <w:rsid w:val="05CB0D4F"/>
    <w:rsid w:val="128A2D5B"/>
    <w:rsid w:val="165D512B"/>
    <w:rsid w:val="172D21F2"/>
    <w:rsid w:val="28D50003"/>
    <w:rsid w:val="2AB25089"/>
    <w:rsid w:val="309C11DD"/>
    <w:rsid w:val="34EE6708"/>
    <w:rsid w:val="4D2B0163"/>
    <w:rsid w:val="4D767DBB"/>
    <w:rsid w:val="533C76EF"/>
    <w:rsid w:val="60A932B8"/>
    <w:rsid w:val="61803255"/>
    <w:rsid w:val="67E7573E"/>
    <w:rsid w:val="68BB297D"/>
    <w:rsid w:val="68E954F4"/>
    <w:rsid w:val="7E612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3088</Words>
  <Characters>3211</Characters>
  <Lines>26</Lines>
  <Paragraphs>7</Paragraphs>
  <TotalTime>16</TotalTime>
  <ScaleCrop>false</ScaleCrop>
  <LinksUpToDate>false</LinksUpToDate>
  <CharactersWithSpaces>3250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2016-11-10T06:46:00Z</dcterms:created>
  <dc:creator>lenovo</dc:creator>
  <cp:lastModifiedBy>e</cp:lastModifiedBy>
  <dcterms:modified xsi:type="dcterms:W3CDTF">2025-09-03T07:55:13Z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82181DBD7C0C4F64B59F54C206DB8EBD</vt:lpwstr>
  </property>
  <property fmtid="{D5CDD505-2E9C-101B-9397-08002B2CF9AE}" pid="4" name="KSOTemplateDocerSaveRecord">
    <vt:lpwstr>eyJoZGlkIjoiNWY4YWU2ODNiNzFiODQyMTM0ZjYwODgyM2JiMDJjMTgifQ==</vt:lpwstr>
  </property>
</Properties>
</file>